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D1687" w14:textId="77777777" w:rsidR="00505F16" w:rsidRPr="00152E12" w:rsidRDefault="00505F16" w:rsidP="00505F16">
      <w:pPr>
        <w:pStyle w:val="CSVFlietext"/>
        <w:spacing w:before="0" w:beforeAutospacing="0" w:after="0" w:afterAutospacing="0" w:line="240" w:lineRule="auto"/>
        <w:jc w:val="center"/>
        <w:rPr>
          <w:rFonts w:ascii="Charter" w:hAnsi="Charter"/>
          <w:b/>
          <w:sz w:val="36"/>
          <w:szCs w:val="36"/>
        </w:rPr>
      </w:pPr>
      <w:r w:rsidRPr="00152E12">
        <w:rPr>
          <w:rFonts w:ascii="Charter" w:hAnsi="Charter"/>
          <w:b/>
          <w:sz w:val="36"/>
          <w:szCs w:val="36"/>
        </w:rPr>
        <w:t>Motion</w:t>
      </w:r>
    </w:p>
    <w:p w14:paraId="0905FC42" w14:textId="77777777" w:rsidR="00505F16" w:rsidRPr="00152E12" w:rsidRDefault="00505F16" w:rsidP="00505F16">
      <w:pPr>
        <w:pStyle w:val="CSVFlietext"/>
        <w:spacing w:before="0" w:beforeAutospacing="0" w:after="0" w:afterAutospacing="0" w:line="240" w:lineRule="auto"/>
        <w:jc w:val="center"/>
        <w:rPr>
          <w:rFonts w:ascii="Charter" w:hAnsi="Charter"/>
          <w:b/>
          <w:sz w:val="32"/>
          <w:szCs w:val="32"/>
        </w:rPr>
      </w:pPr>
    </w:p>
    <w:p w14:paraId="45AB20D4" w14:textId="77777777" w:rsidR="00505F16" w:rsidRPr="00152E12" w:rsidRDefault="00505F16" w:rsidP="00505F16">
      <w:pPr>
        <w:pStyle w:val="CSVFlietext"/>
        <w:spacing w:before="0" w:beforeAutospacing="0" w:after="0" w:afterAutospacing="0" w:line="240" w:lineRule="auto"/>
        <w:ind w:firstLine="5245"/>
        <w:jc w:val="center"/>
        <w:rPr>
          <w:rFonts w:ascii="Charter" w:hAnsi="Charter"/>
          <w:b/>
          <w:sz w:val="32"/>
          <w:szCs w:val="32"/>
        </w:rPr>
      </w:pPr>
    </w:p>
    <w:p w14:paraId="51174F57" w14:textId="26EF4489" w:rsidR="00505F16" w:rsidRPr="00571E41" w:rsidRDefault="00505F16" w:rsidP="00505F16">
      <w:pPr>
        <w:pStyle w:val="CSVFlietext"/>
        <w:spacing w:before="0" w:beforeAutospacing="0" w:after="0" w:afterAutospacing="0" w:line="240" w:lineRule="auto"/>
        <w:ind w:left="5245"/>
        <w:rPr>
          <w:rFonts w:ascii="Charter" w:hAnsi="Charter"/>
          <w:bCs/>
          <w:sz w:val="22"/>
          <w:szCs w:val="22"/>
        </w:rPr>
      </w:pPr>
      <w:r w:rsidRPr="00571E41">
        <w:rPr>
          <w:rFonts w:ascii="Charter" w:hAnsi="Charter"/>
          <w:bCs/>
          <w:sz w:val="22"/>
          <w:szCs w:val="22"/>
        </w:rPr>
        <w:t xml:space="preserve">Luxembourg, le </w:t>
      </w:r>
      <w:r w:rsidR="00EC72AF">
        <w:rPr>
          <w:rFonts w:ascii="Charter" w:hAnsi="Charter"/>
          <w:bCs/>
          <w:sz w:val="22"/>
          <w:szCs w:val="22"/>
        </w:rPr>
        <w:t>20</w:t>
      </w:r>
      <w:r w:rsidRPr="00571E41">
        <w:rPr>
          <w:rFonts w:ascii="Charter" w:hAnsi="Charter"/>
          <w:bCs/>
          <w:sz w:val="22"/>
          <w:szCs w:val="22"/>
        </w:rPr>
        <w:t xml:space="preserve"> janvier 202</w:t>
      </w:r>
      <w:r w:rsidR="002679CC">
        <w:rPr>
          <w:rFonts w:ascii="Charter" w:hAnsi="Charter"/>
          <w:bCs/>
          <w:sz w:val="22"/>
          <w:szCs w:val="22"/>
        </w:rPr>
        <w:t>6</w:t>
      </w:r>
    </w:p>
    <w:p w14:paraId="064B8CC8" w14:textId="77777777" w:rsidR="00505F16" w:rsidRPr="00571E41" w:rsidRDefault="00505F16" w:rsidP="00505F16">
      <w:pPr>
        <w:pStyle w:val="CSVFlietext"/>
        <w:spacing w:before="0" w:beforeAutospacing="0" w:after="0" w:afterAutospacing="0" w:line="240" w:lineRule="auto"/>
        <w:ind w:right="567" w:firstLine="5245"/>
        <w:rPr>
          <w:rFonts w:ascii="Charter" w:hAnsi="Charter"/>
          <w:bCs/>
          <w:sz w:val="22"/>
          <w:szCs w:val="22"/>
        </w:rPr>
      </w:pPr>
      <w:r w:rsidRPr="00571E41">
        <w:rPr>
          <w:rFonts w:ascii="Charter" w:hAnsi="Charter"/>
          <w:bCs/>
          <w:sz w:val="22"/>
          <w:szCs w:val="22"/>
        </w:rPr>
        <w:t xml:space="preserve">Dépôt : Laurent Zeimet   </w:t>
      </w:r>
    </w:p>
    <w:p w14:paraId="1B6495C6" w14:textId="77777777" w:rsidR="00505F16" w:rsidRPr="00571E41" w:rsidRDefault="00505F16" w:rsidP="00505F16">
      <w:pPr>
        <w:pStyle w:val="CSVFlietext"/>
        <w:tabs>
          <w:tab w:val="left" w:pos="8647"/>
        </w:tabs>
        <w:spacing w:before="0" w:beforeAutospacing="0" w:after="0" w:afterAutospacing="0" w:line="240" w:lineRule="auto"/>
        <w:ind w:right="425" w:firstLine="5245"/>
        <w:rPr>
          <w:rFonts w:ascii="Charter" w:hAnsi="Charter"/>
          <w:bCs/>
          <w:sz w:val="22"/>
          <w:szCs w:val="22"/>
        </w:rPr>
      </w:pPr>
      <w:bookmarkStart w:id="0" w:name="_Hlk185408961"/>
      <w:r w:rsidRPr="00571E41">
        <w:rPr>
          <w:rFonts w:ascii="Charter" w:hAnsi="Charter"/>
          <w:bCs/>
          <w:sz w:val="22"/>
          <w:szCs w:val="22"/>
        </w:rPr>
        <w:t xml:space="preserve">Groupe politique CSV </w:t>
      </w:r>
    </w:p>
    <w:bookmarkEnd w:id="0"/>
    <w:p w14:paraId="7CD27A7C" w14:textId="77777777" w:rsidR="00505F16" w:rsidRPr="002679CC" w:rsidRDefault="00505F16" w:rsidP="00505F16">
      <w:pPr>
        <w:pStyle w:val="CSVFlietext"/>
        <w:spacing w:before="0" w:beforeAutospacing="0" w:after="0" w:afterAutospacing="0" w:line="240" w:lineRule="auto"/>
        <w:rPr>
          <w:rFonts w:ascii="Charter" w:hAnsi="Charter"/>
          <w:b/>
          <w:sz w:val="24"/>
          <w:szCs w:val="24"/>
        </w:rPr>
      </w:pPr>
    </w:p>
    <w:p w14:paraId="137675FC" w14:textId="77777777" w:rsidR="002679CC" w:rsidRPr="002679CC" w:rsidRDefault="002679CC" w:rsidP="002679CC">
      <w:pPr>
        <w:pStyle w:val="CSVFlietext"/>
        <w:spacing w:before="0" w:beforeAutospacing="0" w:after="0" w:afterAutospacing="0" w:line="240" w:lineRule="auto"/>
        <w:jc w:val="both"/>
        <w:rPr>
          <w:rFonts w:ascii="Charter" w:hAnsi="Charter"/>
          <w:bCs/>
          <w:sz w:val="24"/>
          <w:szCs w:val="24"/>
        </w:rPr>
      </w:pPr>
      <w:r w:rsidRPr="002679CC">
        <w:rPr>
          <w:rFonts w:ascii="Charter" w:hAnsi="Charter"/>
          <w:b/>
          <w:sz w:val="24"/>
          <w:szCs w:val="24"/>
        </w:rPr>
        <w:t>La Chambre des Députés,</w:t>
      </w:r>
      <w:r w:rsidRPr="002679CC">
        <w:rPr>
          <w:rFonts w:ascii="Charter" w:hAnsi="Charter"/>
          <w:bCs/>
          <w:sz w:val="24"/>
          <w:szCs w:val="24"/>
        </w:rPr>
        <w:t xml:space="preserve"> </w:t>
      </w:r>
    </w:p>
    <w:p w14:paraId="5F993440" w14:textId="77777777" w:rsidR="002679CC" w:rsidRPr="002679CC" w:rsidRDefault="002679CC" w:rsidP="00505F16">
      <w:pPr>
        <w:pStyle w:val="CSVFlietext"/>
        <w:spacing w:before="0" w:beforeAutospacing="0" w:after="0" w:afterAutospacing="0" w:line="240" w:lineRule="auto"/>
        <w:rPr>
          <w:rFonts w:ascii="Charter" w:hAnsi="Charter"/>
          <w:b/>
          <w:sz w:val="24"/>
          <w:szCs w:val="24"/>
        </w:rPr>
      </w:pPr>
    </w:p>
    <w:p w14:paraId="2A181D78" w14:textId="77777777" w:rsidR="007536B3" w:rsidRPr="002679CC" w:rsidRDefault="007536B3" w:rsidP="007536B3">
      <w:pPr>
        <w:rPr>
          <w:rFonts w:ascii="Charter" w:hAnsi="Charter"/>
        </w:rPr>
      </w:pPr>
      <w:proofErr w:type="spellStart"/>
      <w:r w:rsidRPr="002679CC">
        <w:rPr>
          <w:rFonts w:ascii="Charter" w:hAnsi="Charter"/>
          <w:b/>
          <w:bCs/>
        </w:rPr>
        <w:t>Considérant</w:t>
      </w:r>
      <w:proofErr w:type="spellEnd"/>
    </w:p>
    <w:p w14:paraId="7A2F518B" w14:textId="77777777" w:rsidR="007536B3" w:rsidRPr="002679CC" w:rsidRDefault="007536B3" w:rsidP="007536B3">
      <w:pPr>
        <w:numPr>
          <w:ilvl w:val="0"/>
          <w:numId w:val="1"/>
        </w:numPr>
        <w:rPr>
          <w:rFonts w:ascii="Charter" w:hAnsi="Charter"/>
          <w:lang w:val="fr-FR"/>
        </w:rPr>
      </w:pPr>
      <w:r w:rsidRPr="002679CC">
        <w:rPr>
          <w:rFonts w:ascii="Charter" w:hAnsi="Charter"/>
          <w:lang w:val="fr-FR"/>
        </w:rPr>
        <w:t>que le Corps des Gardiens de la révolution islamique iranienne (ci-après « Gardiens de la révolution ») joue un rôle central dans la répression violente des manifestations pacifiques en Iran ;</w:t>
      </w:r>
    </w:p>
    <w:p w14:paraId="0458303E" w14:textId="77777777" w:rsidR="007536B3" w:rsidRPr="002679CC" w:rsidRDefault="007536B3" w:rsidP="007536B3">
      <w:pPr>
        <w:numPr>
          <w:ilvl w:val="0"/>
          <w:numId w:val="1"/>
        </w:numPr>
        <w:rPr>
          <w:rFonts w:ascii="Charter" w:hAnsi="Charter"/>
          <w:lang w:val="fr-FR"/>
        </w:rPr>
      </w:pPr>
      <w:r w:rsidRPr="002679CC">
        <w:rPr>
          <w:rFonts w:ascii="Charter" w:hAnsi="Charter"/>
          <w:lang w:val="fr-FR"/>
        </w:rPr>
        <w:t>que cette organisation est directement impliquée dans de graves violations des droits humains, notamment des exécutions arbitraires, des arrestations massives, la torture et la répression des femmes, des minorités ethniques et religieuses ainsi que des opposants politiques ;</w:t>
      </w:r>
    </w:p>
    <w:p w14:paraId="463F7FFB" w14:textId="77777777" w:rsidR="007536B3" w:rsidRPr="002679CC" w:rsidRDefault="007536B3" w:rsidP="007536B3">
      <w:pPr>
        <w:numPr>
          <w:ilvl w:val="0"/>
          <w:numId w:val="1"/>
        </w:numPr>
        <w:rPr>
          <w:rFonts w:ascii="Charter" w:hAnsi="Charter"/>
          <w:lang w:val="fr-FR"/>
        </w:rPr>
      </w:pPr>
      <w:r w:rsidRPr="002679CC">
        <w:rPr>
          <w:rFonts w:ascii="Charter" w:hAnsi="Charter"/>
          <w:lang w:val="fr-FR"/>
        </w:rPr>
        <w:t>que les Gardiens de la révolution soutiennent et financent des groupes armés et terroristes dans plusieurs régions du monde, contribuant ainsi à l’instabilité régionale et internationale ;</w:t>
      </w:r>
    </w:p>
    <w:p w14:paraId="0D1DA8A3" w14:textId="636C0AA4" w:rsidR="007536B3" w:rsidRPr="002679CC" w:rsidRDefault="007536B3" w:rsidP="007536B3">
      <w:pPr>
        <w:numPr>
          <w:ilvl w:val="0"/>
          <w:numId w:val="1"/>
        </w:numPr>
        <w:rPr>
          <w:rFonts w:ascii="Charter" w:hAnsi="Charter"/>
          <w:lang w:val="fr-FR"/>
        </w:rPr>
      </w:pPr>
      <w:r w:rsidRPr="002679CC">
        <w:rPr>
          <w:rFonts w:ascii="Charter" w:hAnsi="Charter"/>
          <w:lang w:val="fr-FR"/>
        </w:rPr>
        <w:t>que plusieurs partenaires internationaux ont déjà pris ou envisagent des mesures restrictives à l’encontre des Gardiens de la révolution ;</w:t>
      </w:r>
    </w:p>
    <w:p w14:paraId="45DB30A2" w14:textId="77777777" w:rsidR="007536B3" w:rsidRPr="00EC72AF" w:rsidRDefault="007536B3" w:rsidP="007536B3">
      <w:pPr>
        <w:numPr>
          <w:ilvl w:val="0"/>
          <w:numId w:val="1"/>
        </w:numPr>
        <w:rPr>
          <w:rFonts w:ascii="Charter" w:hAnsi="Charter"/>
          <w:lang w:val="fr-FR"/>
        </w:rPr>
      </w:pPr>
      <w:r w:rsidRPr="002679CC">
        <w:rPr>
          <w:rFonts w:ascii="Charter" w:hAnsi="Charter"/>
          <w:lang w:val="fr-FR"/>
        </w:rPr>
        <w:t xml:space="preserve">que l’Union européenne dispose de mécanismes juridiques permettant l’adoption de sanctions ciblées à l’encontre d’individus, d’entités et d’organisations responsables </w:t>
      </w:r>
      <w:r w:rsidRPr="00EC72AF">
        <w:rPr>
          <w:rFonts w:ascii="Charter" w:hAnsi="Charter"/>
          <w:lang w:val="fr-FR"/>
        </w:rPr>
        <w:t>de violations graves des droits humains ou d’actes terroristes ;</w:t>
      </w:r>
    </w:p>
    <w:p w14:paraId="06890B2B" w14:textId="7852845A" w:rsidR="000E567E" w:rsidRPr="00EC72AF" w:rsidRDefault="000E567E" w:rsidP="007536B3">
      <w:pPr>
        <w:numPr>
          <w:ilvl w:val="0"/>
          <w:numId w:val="1"/>
        </w:numPr>
        <w:rPr>
          <w:rFonts w:ascii="Charter" w:hAnsi="Charter"/>
          <w:lang w:val="fr-FR"/>
        </w:rPr>
      </w:pPr>
      <w:r w:rsidRPr="00EC72AF">
        <w:rPr>
          <w:rFonts w:ascii="Charter" w:hAnsi="Charter"/>
          <w:lang w:val="fr-FR"/>
        </w:rPr>
        <w:t>que la mise en place de sanctions ciblées devrait s’accompagner d’un soutien renforcé à la société civile iranienne, au mouvement des femmes, aux syndicats et aux journalistes qui s’engagent, souvent au péril de leur vie, pour les droits humains et l’État de droit</w:t>
      </w:r>
      <w:r w:rsidR="00EC72AF">
        <w:rPr>
          <w:rFonts w:ascii="Charter" w:hAnsi="Charter"/>
          <w:lang w:val="fr-FR"/>
        </w:rPr>
        <w:t> ;</w:t>
      </w:r>
    </w:p>
    <w:p w14:paraId="4C38EAE3" w14:textId="77777777" w:rsidR="006A65B2" w:rsidRPr="00EC72AF" w:rsidRDefault="006A65B2" w:rsidP="006A65B2">
      <w:pPr>
        <w:spacing w:before="100" w:beforeAutospacing="1" w:after="100" w:afterAutospacing="1" w:line="240" w:lineRule="auto"/>
        <w:rPr>
          <w:rFonts w:ascii="Times New Roman" w:eastAsia="Times New Roman" w:hAnsi="Times New Roman" w:cs="Times New Roman"/>
          <w:b/>
          <w:bCs/>
          <w:kern w:val="0"/>
          <w:lang w:val="fr-LU" w:eastAsia="fr-LU"/>
          <w14:ligatures w14:val="none"/>
        </w:rPr>
      </w:pPr>
      <w:r w:rsidRPr="00EC72AF">
        <w:rPr>
          <w:rFonts w:ascii="Times New Roman" w:eastAsia="Times New Roman" w:hAnsi="Times New Roman" w:cs="Times New Roman"/>
          <w:b/>
          <w:bCs/>
          <w:kern w:val="0"/>
          <w:lang w:val="fr-LU" w:eastAsia="fr-LU"/>
          <w14:ligatures w14:val="none"/>
        </w:rPr>
        <w:t xml:space="preserve">Réaffirme </w:t>
      </w:r>
    </w:p>
    <w:p w14:paraId="3781C85A" w14:textId="6BDA5BD1" w:rsidR="006A65B2" w:rsidRPr="00EC72AF" w:rsidRDefault="006A65B2" w:rsidP="006A65B2">
      <w:pPr>
        <w:numPr>
          <w:ilvl w:val="0"/>
          <w:numId w:val="1"/>
        </w:numPr>
        <w:rPr>
          <w:rFonts w:ascii="Charter" w:hAnsi="Charter"/>
          <w:lang w:val="fr-FR"/>
        </w:rPr>
      </w:pPr>
      <w:r w:rsidRPr="00EC72AF">
        <w:rPr>
          <w:rFonts w:ascii="Charter" w:hAnsi="Charter"/>
          <w:lang w:val="fr-FR"/>
        </w:rPr>
        <w:t>son attachement indéfectible aux valeurs universelles de liberté, de dignité humaine et de respect des droits fondamentaux ;</w:t>
      </w:r>
    </w:p>
    <w:p w14:paraId="5F655047" w14:textId="44EF2D54" w:rsidR="006A65B2" w:rsidRPr="00EC72AF" w:rsidRDefault="006A65B2" w:rsidP="006A65B2">
      <w:pPr>
        <w:numPr>
          <w:ilvl w:val="0"/>
          <w:numId w:val="1"/>
        </w:numPr>
        <w:rPr>
          <w:rFonts w:ascii="Charter" w:hAnsi="Charter"/>
          <w:lang w:val="fr-FR"/>
        </w:rPr>
      </w:pPr>
      <w:r w:rsidRPr="00EC72AF">
        <w:rPr>
          <w:rFonts w:ascii="Charter" w:hAnsi="Charter"/>
          <w:lang w:val="fr-FR"/>
        </w:rPr>
        <w:t>sa pleine solidarité avec le peuple iranien, qui aspire légitimement à la liberté, à la justice et au respect de ses droits civils et politiques ;</w:t>
      </w:r>
    </w:p>
    <w:p w14:paraId="7934C4C0" w14:textId="77777777" w:rsidR="006A65B2" w:rsidRPr="00EC72AF" w:rsidRDefault="006A65B2" w:rsidP="006A65B2">
      <w:pPr>
        <w:spacing w:before="100" w:beforeAutospacing="1" w:after="100" w:afterAutospacing="1" w:line="240" w:lineRule="auto"/>
        <w:rPr>
          <w:rFonts w:ascii="Times New Roman" w:eastAsia="Times New Roman" w:hAnsi="Times New Roman" w:cs="Times New Roman"/>
          <w:b/>
          <w:bCs/>
          <w:kern w:val="0"/>
          <w:lang w:val="fr-LU" w:eastAsia="fr-LU"/>
          <w14:ligatures w14:val="none"/>
        </w:rPr>
      </w:pPr>
      <w:r w:rsidRPr="00EC72AF">
        <w:rPr>
          <w:rFonts w:ascii="Times New Roman" w:eastAsia="Times New Roman" w:hAnsi="Times New Roman" w:cs="Times New Roman"/>
          <w:b/>
          <w:bCs/>
          <w:kern w:val="0"/>
          <w:lang w:val="fr-LU" w:eastAsia="fr-LU"/>
          <w14:ligatures w14:val="none"/>
        </w:rPr>
        <w:lastRenderedPageBreak/>
        <w:t xml:space="preserve">Condamne </w:t>
      </w:r>
    </w:p>
    <w:p w14:paraId="4CC596C6" w14:textId="18A5B0A7" w:rsidR="006A65B2" w:rsidRPr="00EC72AF" w:rsidRDefault="006A65B2" w:rsidP="006A65B2">
      <w:pPr>
        <w:numPr>
          <w:ilvl w:val="0"/>
          <w:numId w:val="1"/>
        </w:numPr>
        <w:rPr>
          <w:rFonts w:ascii="Charter" w:hAnsi="Charter"/>
          <w:lang w:val="fr-FR"/>
        </w:rPr>
      </w:pPr>
      <w:r w:rsidRPr="00EC72AF">
        <w:rPr>
          <w:rFonts w:ascii="Charter" w:hAnsi="Charter"/>
          <w:lang w:val="fr-FR"/>
        </w:rPr>
        <w:t>fermement toute forme de répression, de violences et d’atteintes aux libertés fondamentales exercées à l’encontre de la population civile, et appelle les autorités iraniennes à respecter leurs engagements internationaux en matière de droits de l’homme ;</w:t>
      </w:r>
    </w:p>
    <w:p w14:paraId="08751BB9" w14:textId="77777777" w:rsidR="006A65B2" w:rsidRPr="00EC72AF" w:rsidRDefault="006A65B2" w:rsidP="006A65B2">
      <w:pPr>
        <w:spacing w:before="100" w:beforeAutospacing="1" w:after="100" w:afterAutospacing="1" w:line="240" w:lineRule="auto"/>
        <w:rPr>
          <w:rFonts w:ascii="Times New Roman" w:eastAsia="Times New Roman" w:hAnsi="Times New Roman" w:cs="Times New Roman"/>
          <w:b/>
          <w:bCs/>
          <w:kern w:val="0"/>
          <w:lang w:val="fr-LU" w:eastAsia="fr-LU"/>
          <w14:ligatures w14:val="none"/>
        </w:rPr>
      </w:pPr>
      <w:r w:rsidRPr="00EC72AF">
        <w:rPr>
          <w:rFonts w:ascii="Times New Roman" w:eastAsia="Times New Roman" w:hAnsi="Times New Roman" w:cs="Times New Roman"/>
          <w:b/>
          <w:bCs/>
          <w:kern w:val="0"/>
          <w:lang w:val="fr-LU" w:eastAsia="fr-LU"/>
          <w14:ligatures w14:val="none"/>
        </w:rPr>
        <w:t xml:space="preserve">Soutient </w:t>
      </w:r>
    </w:p>
    <w:p w14:paraId="533601BF" w14:textId="26F64D29" w:rsidR="006A65B2" w:rsidRPr="00EC72AF" w:rsidRDefault="006A65B2" w:rsidP="006A65B2">
      <w:pPr>
        <w:numPr>
          <w:ilvl w:val="0"/>
          <w:numId w:val="1"/>
        </w:numPr>
        <w:rPr>
          <w:rFonts w:ascii="Charter" w:hAnsi="Charter"/>
          <w:lang w:val="fr-FR"/>
        </w:rPr>
      </w:pPr>
      <w:r w:rsidRPr="00EC72AF">
        <w:rPr>
          <w:rFonts w:ascii="Charter" w:hAnsi="Charter"/>
          <w:lang w:val="fr-FR"/>
        </w:rPr>
        <w:t>les efforts de la communauté internationale visant à promouvoir le dialogue, la protection des droits humains et l’instauration d’un État de droit en Iran ;</w:t>
      </w:r>
    </w:p>
    <w:p w14:paraId="014EC652" w14:textId="77777777" w:rsidR="006A65B2" w:rsidRPr="00EC72AF" w:rsidRDefault="006A65B2" w:rsidP="006A65B2">
      <w:pPr>
        <w:rPr>
          <w:rFonts w:ascii="Charter" w:hAnsi="Charter"/>
          <w:lang w:val="fr-FR"/>
        </w:rPr>
      </w:pPr>
    </w:p>
    <w:p w14:paraId="04E59245" w14:textId="77777777" w:rsidR="007536B3" w:rsidRPr="00EC72AF" w:rsidRDefault="007536B3" w:rsidP="007536B3">
      <w:pPr>
        <w:rPr>
          <w:rFonts w:ascii="Charter" w:hAnsi="Charter"/>
        </w:rPr>
      </w:pPr>
      <w:r w:rsidRPr="00EC72AF">
        <w:rPr>
          <w:rFonts w:ascii="Charter" w:hAnsi="Charter"/>
          <w:b/>
          <w:bCs/>
        </w:rPr>
        <w:t xml:space="preserve">Invite le </w:t>
      </w:r>
      <w:proofErr w:type="spellStart"/>
      <w:r w:rsidRPr="00EC72AF">
        <w:rPr>
          <w:rFonts w:ascii="Charter" w:hAnsi="Charter"/>
          <w:b/>
          <w:bCs/>
        </w:rPr>
        <w:t>Gouvernement</w:t>
      </w:r>
      <w:proofErr w:type="spellEnd"/>
    </w:p>
    <w:p w14:paraId="76290541" w14:textId="42E13029" w:rsidR="007536B3" w:rsidRPr="002679CC" w:rsidRDefault="007536B3" w:rsidP="007536B3">
      <w:pPr>
        <w:numPr>
          <w:ilvl w:val="0"/>
          <w:numId w:val="2"/>
        </w:numPr>
        <w:rPr>
          <w:rFonts w:ascii="Charter" w:hAnsi="Charter"/>
          <w:lang w:val="fr-FR"/>
        </w:rPr>
      </w:pPr>
      <w:r w:rsidRPr="00EC72AF">
        <w:rPr>
          <w:rFonts w:ascii="Charter" w:hAnsi="Charter"/>
          <w:lang w:val="fr-FR"/>
        </w:rPr>
        <w:t>à s’engager activement, au niveau de l’Union européenne, en faveur de l’inscription</w:t>
      </w:r>
      <w:r w:rsidRPr="002679CC">
        <w:rPr>
          <w:rFonts w:ascii="Charter" w:hAnsi="Charter"/>
          <w:lang w:val="fr-FR"/>
        </w:rPr>
        <w:t xml:space="preserve"> des Gardiens de la révolution islamique iranienne sur la liste </w:t>
      </w:r>
      <w:r w:rsidR="00C05AE5">
        <w:rPr>
          <w:rFonts w:ascii="Charter" w:hAnsi="Charter"/>
          <w:lang w:val="fr-FR"/>
        </w:rPr>
        <w:t>de l’UE en matière de terrorisme qui inclut des personnes, des groupes et des entités impliqués dans des actes de terrorisme</w:t>
      </w:r>
      <w:r w:rsidRPr="002679CC">
        <w:rPr>
          <w:rFonts w:ascii="Charter" w:hAnsi="Charter"/>
          <w:lang w:val="fr-FR"/>
        </w:rPr>
        <w:t>;</w:t>
      </w:r>
    </w:p>
    <w:p w14:paraId="1EBB848E" w14:textId="54017507" w:rsidR="007536B3" w:rsidRPr="002679CC" w:rsidRDefault="007536B3" w:rsidP="007536B3">
      <w:pPr>
        <w:numPr>
          <w:ilvl w:val="0"/>
          <w:numId w:val="2"/>
        </w:numPr>
        <w:rPr>
          <w:rFonts w:ascii="Charter" w:hAnsi="Charter"/>
          <w:lang w:val="fr-FR"/>
        </w:rPr>
      </w:pPr>
      <w:r w:rsidRPr="002679CC">
        <w:rPr>
          <w:rFonts w:ascii="Charter" w:hAnsi="Charter"/>
          <w:lang w:val="fr-FR"/>
        </w:rPr>
        <w:t>à soutenir</w:t>
      </w:r>
      <w:r w:rsidR="00C05AE5">
        <w:rPr>
          <w:rFonts w:ascii="Charter" w:hAnsi="Charter"/>
          <w:lang w:val="fr-FR"/>
        </w:rPr>
        <w:t xml:space="preserve"> en parallèle</w:t>
      </w:r>
      <w:r w:rsidRPr="002679CC">
        <w:rPr>
          <w:rFonts w:ascii="Charter" w:hAnsi="Charter"/>
          <w:lang w:val="fr-FR"/>
        </w:rPr>
        <w:t xml:space="preserve"> l’adoption de sanctions </w:t>
      </w:r>
      <w:r w:rsidR="00C05AE5">
        <w:rPr>
          <w:rFonts w:ascii="Charter" w:hAnsi="Charter"/>
          <w:lang w:val="fr-FR"/>
        </w:rPr>
        <w:t>supplémentaires ciblées</w:t>
      </w:r>
      <w:r w:rsidRPr="002679CC">
        <w:rPr>
          <w:rFonts w:ascii="Charter" w:hAnsi="Charter"/>
          <w:lang w:val="fr-FR"/>
        </w:rPr>
        <w:t>, effectives et coordonnées à l’échelle de l’UE contre les dirigeants, membres et entités affiliées aux Gardiens de la révolution ;</w:t>
      </w:r>
    </w:p>
    <w:p w14:paraId="1AD8EB78" w14:textId="77777777" w:rsidR="007536B3" w:rsidRPr="002679CC" w:rsidRDefault="007536B3" w:rsidP="007536B3">
      <w:pPr>
        <w:numPr>
          <w:ilvl w:val="0"/>
          <w:numId w:val="2"/>
        </w:numPr>
        <w:rPr>
          <w:rFonts w:ascii="Charter" w:hAnsi="Charter"/>
          <w:lang w:val="fr-FR"/>
        </w:rPr>
      </w:pPr>
      <w:r w:rsidRPr="002679CC">
        <w:rPr>
          <w:rFonts w:ascii="Charter" w:hAnsi="Charter"/>
          <w:lang w:val="fr-FR"/>
        </w:rPr>
        <w:t>à poursuivre et renforcer les efforts diplomatiques du Luxembourg en faveur de la défense des droits humains en Iran, en étroite coordination avec ses partenaires européens et internationaux ;</w:t>
      </w:r>
    </w:p>
    <w:p w14:paraId="0ECE10B2" w14:textId="77777777" w:rsidR="007536B3" w:rsidRPr="002679CC" w:rsidRDefault="007536B3" w:rsidP="007536B3">
      <w:pPr>
        <w:numPr>
          <w:ilvl w:val="0"/>
          <w:numId w:val="2"/>
        </w:numPr>
        <w:rPr>
          <w:rFonts w:ascii="Charter" w:hAnsi="Charter"/>
          <w:lang w:val="fr-FR"/>
        </w:rPr>
      </w:pPr>
      <w:r w:rsidRPr="002679CC">
        <w:rPr>
          <w:rFonts w:ascii="Charter" w:hAnsi="Charter"/>
          <w:lang w:val="fr-FR"/>
        </w:rPr>
        <w:t>à informer régulièrement la Chambre des Députés des démarches entreprises et des avancées réalisées dans ce cadre.</w:t>
      </w:r>
    </w:p>
    <w:p w14:paraId="12D83148" w14:textId="77777777" w:rsidR="00D117ED" w:rsidRPr="002679CC" w:rsidRDefault="00D117ED">
      <w:pPr>
        <w:rPr>
          <w:rFonts w:ascii="Charter" w:hAnsi="Charter"/>
          <w:lang w:val="fr-FR"/>
        </w:rPr>
      </w:pPr>
    </w:p>
    <w:sectPr w:rsidR="00D117ED" w:rsidRPr="00267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harter Roman">
    <w:altName w:val="Cambria"/>
    <w:charset w:val="00"/>
    <w:family w:val="roman"/>
    <w:pitch w:val="variable"/>
    <w:sig w:usb0="800000AF" w:usb1="1000204A" w:usb2="00000000" w:usb3="00000000" w:csb0="00000011" w:csb1="00000000"/>
  </w:font>
  <w:font w:name="Calibri Light (Überschriften)">
    <w:altName w:val="Calibri Light"/>
    <w:charset w:val="00"/>
    <w:family w:val="roman"/>
    <w:pitch w:val="default"/>
  </w:font>
  <w:font w:name="Charter">
    <w:altName w:val="Cambria"/>
    <w:charset w:val="00"/>
    <w:family w:val="roman"/>
    <w:pitch w:val="variable"/>
    <w:sig w:usb0="800000AF"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0F5"/>
    <w:multiLevelType w:val="hybridMultilevel"/>
    <w:tmpl w:val="3F643288"/>
    <w:lvl w:ilvl="0" w:tplc="140C0001">
      <w:start w:val="1"/>
      <w:numFmt w:val="bullet"/>
      <w:lvlText w:val=""/>
      <w:lvlJc w:val="left"/>
      <w:pPr>
        <w:ind w:left="1080" w:hanging="360"/>
      </w:pPr>
      <w:rPr>
        <w:rFonts w:ascii="Symbol" w:hAnsi="Symbol"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1" w15:restartNumberingAfterBreak="0">
    <w:nsid w:val="0F7709C4"/>
    <w:multiLevelType w:val="hybridMultilevel"/>
    <w:tmpl w:val="3B7EB9C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466D07B4"/>
    <w:multiLevelType w:val="multilevel"/>
    <w:tmpl w:val="600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E184E"/>
    <w:multiLevelType w:val="hybridMultilevel"/>
    <w:tmpl w:val="16A899F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4DB55F22"/>
    <w:multiLevelType w:val="multilevel"/>
    <w:tmpl w:val="DF8A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732853">
    <w:abstractNumId w:val="2"/>
  </w:num>
  <w:num w:numId="2" w16cid:durableId="1579557935">
    <w:abstractNumId w:val="4"/>
  </w:num>
  <w:num w:numId="3" w16cid:durableId="753741840">
    <w:abstractNumId w:val="0"/>
  </w:num>
  <w:num w:numId="4" w16cid:durableId="807824728">
    <w:abstractNumId w:val="1"/>
  </w:num>
  <w:num w:numId="5" w16cid:durableId="1915774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A4"/>
    <w:rsid w:val="000E567E"/>
    <w:rsid w:val="002679CC"/>
    <w:rsid w:val="0027710A"/>
    <w:rsid w:val="002F2292"/>
    <w:rsid w:val="00505F16"/>
    <w:rsid w:val="005526F0"/>
    <w:rsid w:val="005F3800"/>
    <w:rsid w:val="006A65B2"/>
    <w:rsid w:val="006E3098"/>
    <w:rsid w:val="007536B3"/>
    <w:rsid w:val="0094479F"/>
    <w:rsid w:val="00C05AE5"/>
    <w:rsid w:val="00C21025"/>
    <w:rsid w:val="00CD24CB"/>
    <w:rsid w:val="00D117ED"/>
    <w:rsid w:val="00D617D0"/>
    <w:rsid w:val="00DF76AF"/>
    <w:rsid w:val="00E768A4"/>
    <w:rsid w:val="00EC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2EE0"/>
  <w15:chartTrackingRefBased/>
  <w15:docId w15:val="{97DB1FDA-D765-4E91-B534-44E297A2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6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6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68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68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68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68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68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68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68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68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68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68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68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68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68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68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68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68A4"/>
    <w:rPr>
      <w:rFonts w:eastAsiaTheme="majorEastAsia" w:cstheme="majorBidi"/>
      <w:color w:val="272727" w:themeColor="text1" w:themeTint="D8"/>
    </w:rPr>
  </w:style>
  <w:style w:type="paragraph" w:styleId="Titre">
    <w:name w:val="Title"/>
    <w:basedOn w:val="Normal"/>
    <w:next w:val="Normal"/>
    <w:link w:val="TitreCar"/>
    <w:uiPriority w:val="10"/>
    <w:qFormat/>
    <w:rsid w:val="00E7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68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68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68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68A4"/>
    <w:pPr>
      <w:spacing w:before="160"/>
      <w:jc w:val="center"/>
    </w:pPr>
    <w:rPr>
      <w:i/>
      <w:iCs/>
      <w:color w:val="404040" w:themeColor="text1" w:themeTint="BF"/>
    </w:rPr>
  </w:style>
  <w:style w:type="character" w:customStyle="1" w:styleId="CitationCar">
    <w:name w:val="Citation Car"/>
    <w:basedOn w:val="Policepardfaut"/>
    <w:link w:val="Citation"/>
    <w:uiPriority w:val="29"/>
    <w:rsid w:val="00E768A4"/>
    <w:rPr>
      <w:i/>
      <w:iCs/>
      <w:color w:val="404040" w:themeColor="text1" w:themeTint="BF"/>
    </w:rPr>
  </w:style>
  <w:style w:type="paragraph" w:styleId="Paragraphedeliste">
    <w:name w:val="List Paragraph"/>
    <w:basedOn w:val="Normal"/>
    <w:uiPriority w:val="34"/>
    <w:qFormat/>
    <w:rsid w:val="00E768A4"/>
    <w:pPr>
      <w:ind w:left="720"/>
      <w:contextualSpacing/>
    </w:pPr>
  </w:style>
  <w:style w:type="character" w:styleId="Accentuationintense">
    <w:name w:val="Intense Emphasis"/>
    <w:basedOn w:val="Policepardfaut"/>
    <w:uiPriority w:val="21"/>
    <w:qFormat/>
    <w:rsid w:val="00E768A4"/>
    <w:rPr>
      <w:i/>
      <w:iCs/>
      <w:color w:val="0F4761" w:themeColor="accent1" w:themeShade="BF"/>
    </w:rPr>
  </w:style>
  <w:style w:type="paragraph" w:styleId="Citationintense">
    <w:name w:val="Intense Quote"/>
    <w:basedOn w:val="Normal"/>
    <w:next w:val="Normal"/>
    <w:link w:val="CitationintenseCar"/>
    <w:uiPriority w:val="30"/>
    <w:qFormat/>
    <w:rsid w:val="00E76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68A4"/>
    <w:rPr>
      <w:i/>
      <w:iCs/>
      <w:color w:val="0F4761" w:themeColor="accent1" w:themeShade="BF"/>
    </w:rPr>
  </w:style>
  <w:style w:type="character" w:styleId="Rfrenceintense">
    <w:name w:val="Intense Reference"/>
    <w:basedOn w:val="Policepardfaut"/>
    <w:uiPriority w:val="32"/>
    <w:qFormat/>
    <w:rsid w:val="00E768A4"/>
    <w:rPr>
      <w:b/>
      <w:bCs/>
      <w:smallCaps/>
      <w:color w:val="0F4761" w:themeColor="accent1" w:themeShade="BF"/>
      <w:spacing w:val="5"/>
    </w:rPr>
  </w:style>
  <w:style w:type="paragraph" w:customStyle="1" w:styleId="CSVFlietext">
    <w:name w:val="CSV Fließtext"/>
    <w:basedOn w:val="NormalWeb"/>
    <w:qFormat/>
    <w:rsid w:val="00505F16"/>
    <w:pPr>
      <w:spacing w:before="100" w:beforeAutospacing="1" w:after="100" w:afterAutospacing="1" w:line="288" w:lineRule="auto"/>
    </w:pPr>
    <w:rPr>
      <w:rFonts w:ascii="Charter Roman" w:eastAsia="Times New Roman" w:hAnsi="Charter Roman" w:cs="Calibri Light (Überschriften)"/>
      <w:color w:val="000000" w:themeColor="text1"/>
      <w:kern w:val="0"/>
      <w:sz w:val="20"/>
      <w:szCs w:val="20"/>
      <w:lang w:val="fr-FR" w:eastAsia="fr-FR"/>
      <w14:ligatures w14:val="none"/>
    </w:rPr>
  </w:style>
  <w:style w:type="paragraph" w:styleId="NormalWeb">
    <w:name w:val="Normal (Web)"/>
    <w:basedOn w:val="Normal"/>
    <w:uiPriority w:val="99"/>
    <w:semiHidden/>
    <w:unhideWhenUsed/>
    <w:rsid w:val="00505F16"/>
    <w:rPr>
      <w:rFonts w:ascii="Times New Roman" w:hAnsi="Times New Roman" w:cs="Times New Roman"/>
    </w:rPr>
  </w:style>
  <w:style w:type="paragraph" w:styleId="Rvision">
    <w:name w:val="Revision"/>
    <w:hidden/>
    <w:uiPriority w:val="99"/>
    <w:semiHidden/>
    <w:rsid w:val="00C05A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E18F2FCC187B4889DA967B1FD562B0" ma:contentTypeVersion="13" ma:contentTypeDescription="Create a new document." ma:contentTypeScope="" ma:versionID="e8e6ae2bab193d1ad10756e0efeb0d5f">
  <xsd:schema xmlns:xsd="http://www.w3.org/2001/XMLSchema" xmlns:xs="http://www.w3.org/2001/XMLSchema" xmlns:p="http://schemas.microsoft.com/office/2006/metadata/properties" xmlns:ns2="72c0c476-b73c-4700-91d7-a35a4e4591f6" xmlns:ns3="acddd3c2-af27-4d1e-bed1-c5404ec3c7a5" targetNamespace="http://schemas.microsoft.com/office/2006/metadata/properties" ma:root="true" ma:fieldsID="d3cb704b4ec9ae91619875f1039c111d" ns2:_="" ns3:_="">
    <xsd:import namespace="72c0c476-b73c-4700-91d7-a35a4e4591f6"/>
    <xsd:import namespace="acddd3c2-af27-4d1e-bed1-c5404ec3c7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0c476-b73c-4700-91d7-a35a4e459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265e7f-8462-4495-b953-8a6e585db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ddd3c2-af27-4d1e-bed1-c5404ec3c7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1f01c4-1465-4305-bc62-23b03c53382a}" ma:internalName="TaxCatchAll" ma:showField="CatchAllData" ma:web="acddd3c2-af27-4d1e-bed1-c5404ec3c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ddd3c2-af27-4d1e-bed1-c5404ec3c7a5" xsi:nil="true"/>
    <lcf76f155ced4ddcb4097134ff3c332f xmlns="72c0c476-b73c-4700-91d7-a35a4e4591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DD23A8-3027-4BC7-9B7A-D835DA1EC110}">
  <ds:schemaRefs>
    <ds:schemaRef ds:uri="http://schemas.openxmlformats.org/officeDocument/2006/bibliography"/>
  </ds:schemaRefs>
</ds:datastoreItem>
</file>

<file path=customXml/itemProps2.xml><?xml version="1.0" encoding="utf-8"?>
<ds:datastoreItem xmlns:ds="http://schemas.openxmlformats.org/officeDocument/2006/customXml" ds:itemID="{DEEE1D04-3E83-44FF-BD19-549A0EB17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0c476-b73c-4700-91d7-a35a4e4591f6"/>
    <ds:schemaRef ds:uri="acddd3c2-af27-4d1e-bed1-c5404ec3c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4E39E-2BA8-48E9-AA93-BDA0F52DEA2A}">
  <ds:schemaRefs>
    <ds:schemaRef ds:uri="http://schemas.microsoft.com/sharepoint/v3/contenttype/forms"/>
  </ds:schemaRefs>
</ds:datastoreItem>
</file>

<file path=customXml/itemProps4.xml><?xml version="1.0" encoding="utf-8"?>
<ds:datastoreItem xmlns:ds="http://schemas.openxmlformats.org/officeDocument/2006/customXml" ds:itemID="{0249D509-755B-469D-9FC6-23DC7B4FC4F1}">
  <ds:schemaRefs>
    <ds:schemaRef ds:uri="http://schemas.microsoft.com/office/2006/metadata/properties"/>
    <ds:schemaRef ds:uri="http://schemas.microsoft.com/office/infopath/2007/PartnerControls"/>
    <ds:schemaRef ds:uri="acddd3c2-af27-4d1e-bed1-c5404ec3c7a5"/>
    <ds:schemaRef ds:uri="72c0c476-b73c-4700-91d7-a35a4e4591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2507</Characters>
  <Application>Microsoft Office Word</Application>
  <DocSecurity>4</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Weyrich | CSV</dc:creator>
  <cp:keywords/>
  <dc:description/>
  <cp:lastModifiedBy>Philippe Weyrich | CSV</cp:lastModifiedBy>
  <cp:revision>2</cp:revision>
  <cp:lastPrinted>2026-01-20T13:06:00Z</cp:lastPrinted>
  <dcterms:created xsi:type="dcterms:W3CDTF">2026-01-20T13:11:00Z</dcterms:created>
  <dcterms:modified xsi:type="dcterms:W3CDTF">2026-01-20T13:11:00Z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0x01010029E18F2FCC187B4889DA967B1FD562B0</vt:lpwstr>
  </property>
  <property fmtid="{D5CDD505-2E9C-101B-9397-08002B2CF9AE}" pid="3" name="MediaServiceImageTags">
    <vt:lpwstr/>
  </property>
</Properties>
</file>