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8F12D" w14:textId="24357C6A" w:rsidR="00FF1823" w:rsidRPr="00663643" w:rsidRDefault="00FF1823" w:rsidP="00FF182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63643">
        <w:rPr>
          <w:rFonts w:asciiTheme="majorHAnsi" w:hAnsiTheme="majorHAnsi" w:cstheme="majorHAnsi"/>
          <w:b/>
          <w:sz w:val="24"/>
          <w:szCs w:val="24"/>
        </w:rPr>
        <w:t>No XXXX</w:t>
      </w:r>
    </w:p>
    <w:p w14:paraId="19691B26" w14:textId="77777777" w:rsidR="00FF1823" w:rsidRPr="00663643" w:rsidRDefault="00FF1823" w:rsidP="00FF182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63643">
        <w:rPr>
          <w:rFonts w:asciiTheme="majorHAnsi" w:hAnsiTheme="majorHAnsi" w:cstheme="majorHAnsi"/>
          <w:b/>
          <w:sz w:val="24"/>
          <w:szCs w:val="24"/>
        </w:rPr>
        <w:t>CHAMBRE DES DEPUTES</w:t>
      </w:r>
    </w:p>
    <w:p w14:paraId="70434570" w14:textId="77777777" w:rsidR="00FF1823" w:rsidRPr="00663643" w:rsidRDefault="00FF1823" w:rsidP="00FF182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63643">
        <w:rPr>
          <w:rFonts w:asciiTheme="majorHAnsi" w:hAnsiTheme="majorHAnsi" w:cstheme="majorHAnsi"/>
          <w:b/>
          <w:sz w:val="24"/>
          <w:szCs w:val="24"/>
        </w:rPr>
        <w:t>Session ordinaire 2019-2020</w:t>
      </w:r>
    </w:p>
    <w:p w14:paraId="5FCBC236" w14:textId="77777777" w:rsidR="00FF1823" w:rsidRPr="00663643" w:rsidRDefault="00FF1823" w:rsidP="00FF182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6E67A72" w14:textId="77777777" w:rsidR="00FF1823" w:rsidRPr="00663643" w:rsidRDefault="00FF1823" w:rsidP="00FF182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63643">
        <w:rPr>
          <w:rFonts w:asciiTheme="majorHAnsi" w:hAnsiTheme="majorHAnsi" w:cstheme="majorHAnsi"/>
          <w:b/>
          <w:sz w:val="24"/>
          <w:szCs w:val="24"/>
        </w:rPr>
        <w:t xml:space="preserve">Proposition de loi </w:t>
      </w:r>
    </w:p>
    <w:p w14:paraId="2B4D8211" w14:textId="0979CE20" w:rsidR="009D53A6" w:rsidRPr="00663643" w:rsidRDefault="009D53A6" w:rsidP="007E263B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7839466" w14:textId="77777777" w:rsidR="001C5CA8" w:rsidRPr="00663643" w:rsidRDefault="00533F33" w:rsidP="00281479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663643">
        <w:rPr>
          <w:rFonts w:asciiTheme="majorHAnsi" w:hAnsiTheme="majorHAnsi" w:cstheme="majorHAnsi"/>
          <w:b/>
          <w:sz w:val="24"/>
          <w:szCs w:val="24"/>
        </w:rPr>
        <w:t xml:space="preserve">modifiant la loi du 30 juillet 2002 déterminant différentes mesures fiscales destinées à encourager la mise sur le marché et l'acquisition de terrains à bâtir et d'immeubles d'habitation, et portant modification: </w:t>
      </w:r>
      <w:r w:rsidRPr="00663643">
        <w:rPr>
          <w:rFonts w:asciiTheme="majorHAnsi" w:hAnsiTheme="majorHAnsi" w:cstheme="majorHAnsi"/>
          <w:b/>
          <w:sz w:val="24"/>
          <w:szCs w:val="24"/>
        </w:rPr>
        <w:br/>
        <w:t xml:space="preserve">1. de la loi modifiée du 29 mai 1906 sur les habitations à bon marché; </w:t>
      </w:r>
      <w:r w:rsidRPr="00663643">
        <w:rPr>
          <w:rFonts w:asciiTheme="majorHAnsi" w:hAnsiTheme="majorHAnsi" w:cstheme="majorHAnsi"/>
          <w:b/>
          <w:sz w:val="24"/>
          <w:szCs w:val="24"/>
        </w:rPr>
        <w:br/>
        <w:t xml:space="preserve">2. de la loi modifiée du 16 octobre 1934 concernant l'évaluation des biens et valeurs; </w:t>
      </w:r>
      <w:r w:rsidRPr="00663643">
        <w:rPr>
          <w:rFonts w:asciiTheme="majorHAnsi" w:hAnsiTheme="majorHAnsi" w:cstheme="majorHAnsi"/>
          <w:b/>
          <w:sz w:val="24"/>
          <w:szCs w:val="24"/>
        </w:rPr>
        <w:br/>
        <w:t xml:space="preserve">3. de la loi modifiée du 4 décembre 1967 concernant l'impôt sur le revenu: </w:t>
      </w:r>
      <w:r w:rsidRPr="00663643">
        <w:rPr>
          <w:rFonts w:asciiTheme="majorHAnsi" w:hAnsiTheme="majorHAnsi" w:cstheme="majorHAnsi"/>
          <w:b/>
          <w:sz w:val="24"/>
          <w:szCs w:val="24"/>
        </w:rPr>
        <w:br/>
        <w:t xml:space="preserve">4. de la loi modifiée du 12 février 1979 concernant la taxe sur la valeur ajoutée; </w:t>
      </w:r>
      <w:r w:rsidRPr="00663643">
        <w:rPr>
          <w:rFonts w:asciiTheme="majorHAnsi" w:hAnsiTheme="majorHAnsi" w:cstheme="majorHAnsi"/>
          <w:b/>
          <w:sz w:val="24"/>
          <w:szCs w:val="24"/>
        </w:rPr>
        <w:br/>
        <w:t>5. de la loi du 6 décembre 1990 portant réforme de certaines dispositions en matière des impôts directs et indirects.</w:t>
      </w:r>
    </w:p>
    <w:p w14:paraId="6DE0FF2B" w14:textId="61DF84A2" w:rsidR="00281479" w:rsidRPr="00663643" w:rsidRDefault="00281479" w:rsidP="00281479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6F023AD" w14:textId="5595821B" w:rsidR="00FF1823" w:rsidRPr="00663643" w:rsidRDefault="00FF1823" w:rsidP="00281479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C3978B" w14:textId="77777777" w:rsidR="00FF1823" w:rsidRPr="00663643" w:rsidRDefault="00FF1823" w:rsidP="00FF182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63643">
        <w:rPr>
          <w:rFonts w:asciiTheme="majorHAnsi" w:hAnsiTheme="majorHAnsi" w:cstheme="majorHAnsi"/>
          <w:b/>
          <w:sz w:val="24"/>
          <w:szCs w:val="24"/>
        </w:rPr>
        <w:t>Dépôt M. Marc Lies</w:t>
      </w:r>
    </w:p>
    <w:p w14:paraId="5599A74E" w14:textId="77777777" w:rsidR="00FF1823" w:rsidRPr="00663643" w:rsidRDefault="00FF1823" w:rsidP="00FF1823">
      <w:pPr>
        <w:rPr>
          <w:rFonts w:asciiTheme="majorHAnsi" w:hAnsiTheme="majorHAnsi" w:cstheme="majorHAnsi"/>
          <w:sz w:val="24"/>
          <w:szCs w:val="24"/>
        </w:rPr>
      </w:pPr>
    </w:p>
    <w:p w14:paraId="02B44630" w14:textId="77777777" w:rsidR="00FF1823" w:rsidRPr="00663643" w:rsidRDefault="00FF1823" w:rsidP="00FF1823">
      <w:pPr>
        <w:jc w:val="center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b/>
          <w:sz w:val="24"/>
          <w:szCs w:val="24"/>
        </w:rPr>
        <w:t>SOMMAIRE</w:t>
      </w:r>
      <w:r w:rsidRPr="00663643">
        <w:rPr>
          <w:rFonts w:asciiTheme="majorHAnsi" w:hAnsiTheme="majorHAnsi" w:cstheme="majorHAnsi"/>
          <w:sz w:val="24"/>
          <w:szCs w:val="24"/>
        </w:rPr>
        <w:t xml:space="preserve"> :</w:t>
      </w:r>
    </w:p>
    <w:p w14:paraId="58F553A9" w14:textId="77777777" w:rsidR="00FF1823" w:rsidRPr="00663643" w:rsidRDefault="00FF1823" w:rsidP="00FF1823">
      <w:pPr>
        <w:ind w:left="6372"/>
        <w:jc w:val="center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>Page</w:t>
      </w:r>
    </w:p>
    <w:p w14:paraId="56976B63" w14:textId="77777777" w:rsidR="00FF1823" w:rsidRPr="00663643" w:rsidRDefault="00FF1823" w:rsidP="00FF1823">
      <w:pPr>
        <w:jc w:val="center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>1. Exposé des motifs......................................................................  1</w:t>
      </w:r>
    </w:p>
    <w:p w14:paraId="09FFA283" w14:textId="1991B6BB" w:rsidR="00FF1823" w:rsidRPr="00663643" w:rsidRDefault="00FF1823" w:rsidP="00FF1823">
      <w:pPr>
        <w:jc w:val="center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>2. Texte de la proposition de loi....................................................   3</w:t>
      </w:r>
    </w:p>
    <w:p w14:paraId="2F0A447F" w14:textId="5F282C92" w:rsidR="00FF1823" w:rsidRPr="00663643" w:rsidRDefault="00FF1823" w:rsidP="00FF1823">
      <w:pPr>
        <w:jc w:val="center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 xml:space="preserve">3. Commentaire de </w:t>
      </w:r>
      <w:r w:rsidR="00A26F82" w:rsidRPr="00663643">
        <w:rPr>
          <w:rFonts w:asciiTheme="majorHAnsi" w:hAnsiTheme="majorHAnsi" w:cstheme="majorHAnsi"/>
          <w:sz w:val="24"/>
          <w:szCs w:val="24"/>
        </w:rPr>
        <w:t>l’</w:t>
      </w:r>
      <w:r w:rsidRPr="00663643">
        <w:rPr>
          <w:rFonts w:asciiTheme="majorHAnsi" w:hAnsiTheme="majorHAnsi" w:cstheme="majorHAnsi"/>
          <w:sz w:val="24"/>
          <w:szCs w:val="24"/>
        </w:rPr>
        <w:t>article</w:t>
      </w:r>
      <w:r w:rsidR="00A26F82" w:rsidRPr="00663643">
        <w:rPr>
          <w:rFonts w:asciiTheme="majorHAnsi" w:hAnsiTheme="majorHAnsi" w:cstheme="majorHAnsi"/>
          <w:sz w:val="24"/>
          <w:szCs w:val="24"/>
        </w:rPr>
        <w:t xml:space="preserve"> unique</w:t>
      </w:r>
      <w:r w:rsidRPr="00663643">
        <w:rPr>
          <w:rFonts w:asciiTheme="majorHAnsi" w:hAnsiTheme="majorHAnsi" w:cstheme="majorHAnsi"/>
          <w:sz w:val="24"/>
          <w:szCs w:val="24"/>
        </w:rPr>
        <w:t xml:space="preserve"> ........................................................... 3</w:t>
      </w:r>
    </w:p>
    <w:p w14:paraId="37F28BDC" w14:textId="77777777" w:rsidR="00FF1823" w:rsidRPr="00663643" w:rsidRDefault="00FF1823" w:rsidP="00FF1823">
      <w:pPr>
        <w:autoSpaceDE w:val="0"/>
        <w:autoSpaceDN w:val="0"/>
        <w:adjustRightInd w:val="0"/>
        <w:spacing w:after="0" w:line="276" w:lineRule="auto"/>
        <w:rPr>
          <w:rFonts w:asciiTheme="majorHAnsi" w:eastAsia="DINNextLTPro-Light" w:hAnsiTheme="majorHAnsi" w:cstheme="majorHAnsi"/>
          <w:b/>
          <w:sz w:val="24"/>
          <w:szCs w:val="24"/>
        </w:rPr>
      </w:pPr>
    </w:p>
    <w:p w14:paraId="6EEC5AF3" w14:textId="77777777" w:rsidR="00FF1823" w:rsidRPr="00663643" w:rsidRDefault="00FF1823" w:rsidP="00FF182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DINNextLTPro-Light" w:hAnsiTheme="majorHAnsi" w:cstheme="majorHAnsi"/>
          <w:b/>
          <w:sz w:val="24"/>
          <w:szCs w:val="24"/>
        </w:rPr>
      </w:pPr>
    </w:p>
    <w:p w14:paraId="7C6A08EC" w14:textId="77777777" w:rsidR="00FF1823" w:rsidRPr="00663643" w:rsidRDefault="00FF1823" w:rsidP="00FF182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63643">
        <w:rPr>
          <w:rFonts w:asciiTheme="majorHAnsi" w:hAnsiTheme="majorHAnsi" w:cstheme="majorHAnsi"/>
          <w:b/>
          <w:sz w:val="24"/>
          <w:szCs w:val="24"/>
        </w:rPr>
        <w:t>1. Exposé des Motifs</w:t>
      </w:r>
    </w:p>
    <w:p w14:paraId="63AD32FA" w14:textId="0689939D" w:rsidR="00FF1823" w:rsidRPr="00663643" w:rsidRDefault="00FF1823" w:rsidP="00281479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A0E435D" w14:textId="280E58A5" w:rsidR="00FF1823" w:rsidRPr="00663643" w:rsidRDefault="00FF1823" w:rsidP="00FF182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>Au Luxembourg, l’acquisition d’un bien immobilier s’accompagne du paiement de droits d’enregistrement et de transcription</w:t>
      </w:r>
      <w:r w:rsidR="00E706CF" w:rsidRPr="00663643">
        <w:rPr>
          <w:rFonts w:asciiTheme="majorHAnsi" w:hAnsiTheme="majorHAnsi" w:cstheme="majorHAnsi"/>
          <w:sz w:val="24"/>
          <w:szCs w:val="24"/>
        </w:rPr>
        <w:t xml:space="preserve"> qui s’élèvent en </w:t>
      </w:r>
      <w:r w:rsidRPr="00663643">
        <w:rPr>
          <w:rFonts w:asciiTheme="majorHAnsi" w:hAnsiTheme="majorHAnsi" w:cstheme="majorHAnsi"/>
          <w:sz w:val="24"/>
          <w:szCs w:val="24"/>
        </w:rPr>
        <w:t xml:space="preserve">général à 7%, dont 6% </w:t>
      </w:r>
      <w:r w:rsidR="00E706CF" w:rsidRPr="00663643">
        <w:rPr>
          <w:rFonts w:asciiTheme="majorHAnsi" w:hAnsiTheme="majorHAnsi" w:cstheme="majorHAnsi"/>
          <w:sz w:val="24"/>
          <w:szCs w:val="24"/>
        </w:rPr>
        <w:t xml:space="preserve">sont dus au titre de </w:t>
      </w:r>
      <w:r w:rsidRPr="00663643">
        <w:rPr>
          <w:rFonts w:asciiTheme="majorHAnsi" w:hAnsiTheme="majorHAnsi" w:cstheme="majorHAnsi"/>
          <w:sz w:val="24"/>
          <w:szCs w:val="24"/>
        </w:rPr>
        <w:t xml:space="preserve">droits d’enregistrement et 1% </w:t>
      </w:r>
      <w:r w:rsidR="00E706CF" w:rsidRPr="00663643">
        <w:rPr>
          <w:rFonts w:asciiTheme="majorHAnsi" w:hAnsiTheme="majorHAnsi" w:cstheme="majorHAnsi"/>
          <w:sz w:val="24"/>
          <w:szCs w:val="24"/>
        </w:rPr>
        <w:t xml:space="preserve">au titre de </w:t>
      </w:r>
      <w:r w:rsidRPr="00663643">
        <w:rPr>
          <w:rFonts w:asciiTheme="majorHAnsi" w:hAnsiTheme="majorHAnsi" w:cstheme="majorHAnsi"/>
          <w:sz w:val="24"/>
          <w:szCs w:val="24"/>
        </w:rPr>
        <w:t>droits de transcription.</w:t>
      </w:r>
    </w:p>
    <w:p w14:paraId="5A114AA0" w14:textId="77777777" w:rsidR="000F30DA" w:rsidRDefault="000F30DA" w:rsidP="00FF182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1BD0B6" w14:textId="63875694" w:rsidR="00E706CF" w:rsidRPr="00663643" w:rsidRDefault="00FF1823" w:rsidP="00FF182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>En 2002, le gouvernement a introduit un abattement, appelé</w:t>
      </w:r>
      <w:r w:rsidR="00E706CF" w:rsidRPr="00663643">
        <w:rPr>
          <w:rFonts w:asciiTheme="majorHAnsi" w:hAnsiTheme="majorHAnsi" w:cstheme="majorHAnsi"/>
          <w:sz w:val="24"/>
          <w:szCs w:val="24"/>
        </w:rPr>
        <w:t xml:space="preserve"> « </w:t>
      </w:r>
      <w:r w:rsidRPr="00663643">
        <w:rPr>
          <w:rFonts w:asciiTheme="majorHAnsi" w:hAnsiTheme="majorHAnsi" w:cstheme="majorHAnsi"/>
          <w:sz w:val="24"/>
          <w:szCs w:val="24"/>
        </w:rPr>
        <w:t>crédit d’impôt</w:t>
      </w:r>
      <w:r w:rsidR="00E706CF" w:rsidRPr="00663643">
        <w:rPr>
          <w:rFonts w:asciiTheme="majorHAnsi" w:hAnsiTheme="majorHAnsi" w:cstheme="majorHAnsi"/>
          <w:sz w:val="24"/>
          <w:szCs w:val="24"/>
        </w:rPr>
        <w:t> »</w:t>
      </w:r>
      <w:r w:rsidRPr="00663643">
        <w:rPr>
          <w:rFonts w:asciiTheme="majorHAnsi" w:hAnsiTheme="majorHAnsi" w:cstheme="majorHAnsi"/>
          <w:sz w:val="24"/>
          <w:szCs w:val="24"/>
        </w:rPr>
        <w:t>, sur ces droits d’enregistrement et de transcription pour toutes les personnes voulant acquérir un bien immobilier à des fins d’habitation personnelle. Tout</w:t>
      </w:r>
      <w:r w:rsidR="00E706CF" w:rsidRPr="00663643">
        <w:rPr>
          <w:rFonts w:asciiTheme="majorHAnsi" w:hAnsiTheme="majorHAnsi" w:cstheme="majorHAnsi"/>
          <w:sz w:val="24"/>
          <w:szCs w:val="24"/>
        </w:rPr>
        <w:t xml:space="preserve">e personne </w:t>
      </w:r>
      <w:r w:rsidRPr="00663643">
        <w:rPr>
          <w:rFonts w:asciiTheme="majorHAnsi" w:hAnsiTheme="majorHAnsi" w:cstheme="majorHAnsi"/>
          <w:sz w:val="24"/>
          <w:szCs w:val="24"/>
        </w:rPr>
        <w:t>résid</w:t>
      </w:r>
      <w:r w:rsidR="00E706CF" w:rsidRPr="00663643">
        <w:rPr>
          <w:rFonts w:asciiTheme="majorHAnsi" w:hAnsiTheme="majorHAnsi" w:cstheme="majorHAnsi"/>
          <w:sz w:val="24"/>
          <w:szCs w:val="24"/>
        </w:rPr>
        <w:t>a</w:t>
      </w:r>
      <w:r w:rsidRPr="00663643">
        <w:rPr>
          <w:rFonts w:asciiTheme="majorHAnsi" w:hAnsiTheme="majorHAnsi" w:cstheme="majorHAnsi"/>
          <w:sz w:val="24"/>
          <w:szCs w:val="24"/>
        </w:rPr>
        <w:t>nt</w:t>
      </w:r>
      <w:r w:rsidR="00E706CF" w:rsidRPr="00663643">
        <w:rPr>
          <w:rFonts w:asciiTheme="majorHAnsi" w:hAnsiTheme="majorHAnsi" w:cstheme="majorHAnsi"/>
          <w:sz w:val="24"/>
          <w:szCs w:val="24"/>
        </w:rPr>
        <w:t>e</w:t>
      </w:r>
      <w:r w:rsidRPr="00663643">
        <w:rPr>
          <w:rFonts w:asciiTheme="majorHAnsi" w:hAnsiTheme="majorHAnsi" w:cstheme="majorHAnsi"/>
          <w:sz w:val="24"/>
          <w:szCs w:val="24"/>
        </w:rPr>
        <w:t xml:space="preserve"> au Luxembourg peut </w:t>
      </w:r>
      <w:r w:rsidRPr="00663643">
        <w:rPr>
          <w:rFonts w:asciiTheme="majorHAnsi" w:hAnsiTheme="majorHAnsi" w:cstheme="majorHAnsi"/>
          <w:sz w:val="24"/>
          <w:szCs w:val="24"/>
        </w:rPr>
        <w:lastRenderedPageBreak/>
        <w:t>bénéficier</w:t>
      </w:r>
      <w:r w:rsidR="00E706CF" w:rsidRPr="00663643">
        <w:rPr>
          <w:rFonts w:asciiTheme="majorHAnsi" w:hAnsiTheme="majorHAnsi" w:cstheme="majorHAnsi"/>
          <w:sz w:val="24"/>
          <w:szCs w:val="24"/>
        </w:rPr>
        <w:t>,</w:t>
      </w:r>
      <w:r w:rsidRPr="00663643">
        <w:rPr>
          <w:rFonts w:asciiTheme="majorHAnsi" w:hAnsiTheme="majorHAnsi" w:cstheme="majorHAnsi"/>
          <w:sz w:val="24"/>
          <w:szCs w:val="24"/>
        </w:rPr>
        <w:t xml:space="preserve"> </w:t>
      </w:r>
      <w:r w:rsidR="00E706CF" w:rsidRPr="00663643">
        <w:rPr>
          <w:rFonts w:asciiTheme="majorHAnsi" w:hAnsiTheme="majorHAnsi" w:cstheme="majorHAnsi"/>
          <w:sz w:val="24"/>
          <w:szCs w:val="24"/>
        </w:rPr>
        <w:t>l</w:t>
      </w:r>
      <w:r w:rsidRPr="00663643">
        <w:rPr>
          <w:rFonts w:asciiTheme="majorHAnsi" w:hAnsiTheme="majorHAnsi" w:cstheme="majorHAnsi"/>
          <w:sz w:val="24"/>
          <w:szCs w:val="24"/>
        </w:rPr>
        <w:t>ors de la passation de l’acte notarié portant acquisition d’une habitation personnelle</w:t>
      </w:r>
      <w:r w:rsidR="00E706CF" w:rsidRPr="00663643">
        <w:rPr>
          <w:rFonts w:asciiTheme="majorHAnsi" w:hAnsiTheme="majorHAnsi" w:cstheme="majorHAnsi"/>
          <w:sz w:val="24"/>
          <w:szCs w:val="24"/>
        </w:rPr>
        <w:t xml:space="preserve">, </w:t>
      </w:r>
      <w:r w:rsidRPr="00663643">
        <w:rPr>
          <w:rFonts w:asciiTheme="majorHAnsi" w:hAnsiTheme="majorHAnsi" w:cstheme="majorHAnsi"/>
          <w:sz w:val="24"/>
          <w:szCs w:val="24"/>
        </w:rPr>
        <w:t>d’un crédit d’impôt à</w:t>
      </w:r>
      <w:r w:rsidR="00E706CF" w:rsidRPr="00663643">
        <w:rPr>
          <w:rFonts w:asciiTheme="majorHAnsi" w:hAnsiTheme="majorHAnsi" w:cstheme="majorHAnsi"/>
          <w:sz w:val="24"/>
          <w:szCs w:val="24"/>
        </w:rPr>
        <w:t xml:space="preserve"> faire </w:t>
      </w:r>
      <w:r w:rsidRPr="00663643">
        <w:rPr>
          <w:rFonts w:asciiTheme="majorHAnsi" w:hAnsiTheme="majorHAnsi" w:cstheme="majorHAnsi"/>
          <w:sz w:val="24"/>
          <w:szCs w:val="24"/>
        </w:rPr>
        <w:t>valoir sur les droits d’enregistrement et de transcription normalement dus. La loi en vigueur limite ce crédit d’impôt à 20.000</w:t>
      </w:r>
      <w:r w:rsidR="00E706CF" w:rsidRPr="00663643">
        <w:rPr>
          <w:rFonts w:asciiTheme="majorHAnsi" w:hAnsiTheme="majorHAnsi" w:cstheme="majorHAnsi"/>
          <w:sz w:val="24"/>
          <w:szCs w:val="24"/>
        </w:rPr>
        <w:t xml:space="preserve">.- </w:t>
      </w:r>
      <w:r w:rsidRPr="00663643">
        <w:rPr>
          <w:rFonts w:asciiTheme="majorHAnsi" w:hAnsiTheme="majorHAnsi" w:cstheme="majorHAnsi"/>
          <w:sz w:val="24"/>
          <w:szCs w:val="24"/>
        </w:rPr>
        <w:t>euros et</w:t>
      </w:r>
      <w:r w:rsidR="00E706CF" w:rsidRPr="00663643">
        <w:rPr>
          <w:rFonts w:asciiTheme="majorHAnsi" w:hAnsiTheme="majorHAnsi" w:cstheme="majorHAnsi"/>
          <w:sz w:val="24"/>
          <w:szCs w:val="24"/>
        </w:rPr>
        <w:t xml:space="preserve"> à </w:t>
      </w:r>
      <w:r w:rsidRPr="00663643">
        <w:rPr>
          <w:rFonts w:asciiTheme="majorHAnsi" w:hAnsiTheme="majorHAnsi" w:cstheme="majorHAnsi"/>
          <w:sz w:val="24"/>
          <w:szCs w:val="24"/>
        </w:rPr>
        <w:t>40.000</w:t>
      </w:r>
      <w:r w:rsidR="00E706CF" w:rsidRPr="00663643">
        <w:rPr>
          <w:rFonts w:asciiTheme="majorHAnsi" w:hAnsiTheme="majorHAnsi" w:cstheme="majorHAnsi"/>
          <w:sz w:val="24"/>
          <w:szCs w:val="24"/>
        </w:rPr>
        <w:t xml:space="preserve">.- </w:t>
      </w:r>
      <w:r w:rsidRPr="00663643">
        <w:rPr>
          <w:rFonts w:asciiTheme="majorHAnsi" w:hAnsiTheme="majorHAnsi" w:cstheme="majorHAnsi"/>
          <w:sz w:val="24"/>
          <w:szCs w:val="24"/>
        </w:rPr>
        <w:t xml:space="preserve">euros pour un couple. Cette enveloppe peut être utilisée </w:t>
      </w:r>
      <w:r w:rsidR="00E706CF" w:rsidRPr="00663643">
        <w:rPr>
          <w:rFonts w:asciiTheme="majorHAnsi" w:hAnsiTheme="majorHAnsi" w:cstheme="majorHAnsi"/>
          <w:sz w:val="24"/>
          <w:szCs w:val="24"/>
        </w:rPr>
        <w:t xml:space="preserve">pour </w:t>
      </w:r>
      <w:r w:rsidRPr="00663643">
        <w:rPr>
          <w:rFonts w:asciiTheme="majorHAnsi" w:hAnsiTheme="majorHAnsi" w:cstheme="majorHAnsi"/>
          <w:sz w:val="24"/>
          <w:szCs w:val="24"/>
        </w:rPr>
        <w:t xml:space="preserve">un ou plusieurs achats immobiliers. </w:t>
      </w:r>
    </w:p>
    <w:p w14:paraId="62FB6232" w14:textId="77777777" w:rsidR="00E706CF" w:rsidRPr="00663643" w:rsidRDefault="00E706CF" w:rsidP="00FF182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03B39E1" w14:textId="537FE4BE" w:rsidR="00FF1823" w:rsidRPr="00663643" w:rsidRDefault="00FF1823" w:rsidP="00FF182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>L’acquéreur bénéficie d’un enregistrement au taux forfaitaire de 100</w:t>
      </w:r>
      <w:r w:rsidR="00E706CF" w:rsidRPr="00663643">
        <w:rPr>
          <w:rFonts w:asciiTheme="majorHAnsi" w:hAnsiTheme="majorHAnsi" w:cstheme="majorHAnsi"/>
          <w:sz w:val="24"/>
          <w:szCs w:val="24"/>
        </w:rPr>
        <w:t xml:space="preserve">.- </w:t>
      </w:r>
      <w:r w:rsidRPr="00663643">
        <w:rPr>
          <w:rFonts w:asciiTheme="majorHAnsi" w:hAnsiTheme="majorHAnsi" w:cstheme="majorHAnsi"/>
          <w:sz w:val="24"/>
          <w:szCs w:val="24"/>
        </w:rPr>
        <w:t>euros</w:t>
      </w:r>
      <w:r w:rsidR="00E706CF" w:rsidRPr="00663643">
        <w:rPr>
          <w:rFonts w:asciiTheme="majorHAnsi" w:hAnsiTheme="majorHAnsi" w:cstheme="majorHAnsi"/>
          <w:sz w:val="24"/>
          <w:szCs w:val="24"/>
        </w:rPr>
        <w:t>,</w:t>
      </w:r>
      <w:r w:rsidRPr="00663643">
        <w:rPr>
          <w:rFonts w:asciiTheme="majorHAnsi" w:hAnsiTheme="majorHAnsi" w:cstheme="majorHAnsi"/>
          <w:sz w:val="24"/>
          <w:szCs w:val="24"/>
        </w:rPr>
        <w:t xml:space="preserve"> si les droits d'enregistrement ne dépassent pas le crédit d'impôt de 20.000</w:t>
      </w:r>
      <w:r w:rsidR="00E706CF" w:rsidRPr="00663643">
        <w:rPr>
          <w:rFonts w:asciiTheme="majorHAnsi" w:hAnsiTheme="majorHAnsi" w:cstheme="majorHAnsi"/>
          <w:sz w:val="24"/>
          <w:szCs w:val="24"/>
        </w:rPr>
        <w:t>.-</w:t>
      </w:r>
      <w:r w:rsidRPr="00663643">
        <w:rPr>
          <w:rFonts w:asciiTheme="majorHAnsi" w:hAnsiTheme="majorHAnsi" w:cstheme="majorHAnsi"/>
          <w:sz w:val="24"/>
          <w:szCs w:val="24"/>
        </w:rPr>
        <w:t>euros.</w:t>
      </w:r>
    </w:p>
    <w:p w14:paraId="4B282037" w14:textId="77777777" w:rsidR="00FF1823" w:rsidRPr="00663643" w:rsidRDefault="00FF1823" w:rsidP="00FF182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D68AFA7" w14:textId="77777777" w:rsidR="00FF1823" w:rsidRPr="00663643" w:rsidRDefault="00FF1823" w:rsidP="00FF182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 xml:space="preserve">Cette mesure a été introduite afin de diminuer les frais accessoires à l’acquisition d’un logement. </w:t>
      </w:r>
    </w:p>
    <w:p w14:paraId="1427730F" w14:textId="77777777" w:rsidR="00FF1823" w:rsidRPr="00663643" w:rsidRDefault="00FF1823" w:rsidP="00FF182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875D4AD" w14:textId="356ED24E" w:rsidR="00FF1823" w:rsidRPr="00663643" w:rsidRDefault="00FF1823" w:rsidP="00FF182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>Depuis l’introduction du crédit d’impôt en 2002, le crédit d’impôt n’a</w:t>
      </w:r>
      <w:r w:rsidR="00E706CF" w:rsidRPr="00663643">
        <w:rPr>
          <w:rFonts w:asciiTheme="majorHAnsi" w:hAnsiTheme="majorHAnsi" w:cstheme="majorHAnsi"/>
          <w:sz w:val="24"/>
          <w:szCs w:val="24"/>
        </w:rPr>
        <w:t xml:space="preserve">, </w:t>
      </w:r>
      <w:r w:rsidRPr="00663643">
        <w:rPr>
          <w:rFonts w:asciiTheme="majorHAnsi" w:hAnsiTheme="majorHAnsi" w:cstheme="majorHAnsi"/>
          <w:sz w:val="24"/>
          <w:szCs w:val="24"/>
        </w:rPr>
        <w:t>jusqu’à présent</w:t>
      </w:r>
      <w:r w:rsidR="00E706CF" w:rsidRPr="00663643">
        <w:rPr>
          <w:rFonts w:asciiTheme="majorHAnsi" w:hAnsiTheme="majorHAnsi" w:cstheme="majorHAnsi"/>
          <w:sz w:val="24"/>
          <w:szCs w:val="24"/>
        </w:rPr>
        <w:t xml:space="preserve">, </w:t>
      </w:r>
      <w:r w:rsidRPr="00663643">
        <w:rPr>
          <w:rFonts w:asciiTheme="majorHAnsi" w:hAnsiTheme="majorHAnsi" w:cstheme="majorHAnsi"/>
          <w:sz w:val="24"/>
          <w:szCs w:val="24"/>
        </w:rPr>
        <w:t>jamais été adapté. Or depuis 2002, les prix immobiliers ont f</w:t>
      </w:r>
      <w:r w:rsidR="00E706CF" w:rsidRPr="00663643">
        <w:rPr>
          <w:rFonts w:asciiTheme="majorHAnsi" w:hAnsiTheme="majorHAnsi" w:cstheme="majorHAnsi"/>
          <w:sz w:val="24"/>
          <w:szCs w:val="24"/>
        </w:rPr>
        <w:t>ortement évolué.</w:t>
      </w:r>
      <w:r w:rsidRPr="0066364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B6CBC99" w14:textId="754F253F" w:rsidR="00FF1823" w:rsidRPr="00663643" w:rsidRDefault="00A6669B" w:rsidP="00FF182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>Selon l</w:t>
      </w:r>
      <w:r w:rsidR="00FF1823" w:rsidRPr="00663643">
        <w:rPr>
          <w:rFonts w:asciiTheme="majorHAnsi" w:hAnsiTheme="majorHAnsi" w:cstheme="majorHAnsi"/>
          <w:sz w:val="24"/>
          <w:szCs w:val="24"/>
        </w:rPr>
        <w:t>’Observatoire de l’</w:t>
      </w:r>
      <w:r w:rsidRPr="00663643">
        <w:rPr>
          <w:rFonts w:asciiTheme="majorHAnsi" w:hAnsiTheme="majorHAnsi" w:cstheme="majorHAnsi"/>
          <w:sz w:val="24"/>
          <w:szCs w:val="24"/>
        </w:rPr>
        <w:t>H</w:t>
      </w:r>
      <w:r w:rsidR="00FF1823" w:rsidRPr="00663643">
        <w:rPr>
          <w:rFonts w:asciiTheme="majorHAnsi" w:hAnsiTheme="majorHAnsi" w:cstheme="majorHAnsi"/>
          <w:sz w:val="24"/>
          <w:szCs w:val="24"/>
        </w:rPr>
        <w:t>abitat</w:t>
      </w:r>
      <w:r w:rsidRPr="00663643">
        <w:rPr>
          <w:rFonts w:asciiTheme="majorHAnsi" w:hAnsiTheme="majorHAnsi" w:cstheme="majorHAnsi"/>
          <w:sz w:val="24"/>
          <w:szCs w:val="24"/>
        </w:rPr>
        <w:t xml:space="preserve">, qui </w:t>
      </w:r>
      <w:r w:rsidR="00FF1823" w:rsidRPr="00663643">
        <w:rPr>
          <w:rFonts w:asciiTheme="majorHAnsi" w:hAnsiTheme="majorHAnsi" w:cstheme="majorHAnsi"/>
          <w:sz w:val="24"/>
          <w:szCs w:val="24"/>
        </w:rPr>
        <w:t>analyse les prix enregistrés pour les ventes d'appartements pour toutes les communes du pays</w:t>
      </w:r>
      <w:r w:rsidRPr="00663643">
        <w:rPr>
          <w:rFonts w:asciiTheme="majorHAnsi" w:hAnsiTheme="majorHAnsi" w:cstheme="majorHAnsi"/>
          <w:sz w:val="24"/>
          <w:szCs w:val="24"/>
        </w:rPr>
        <w:t>, le prix de vente moyen au m² pour les appartements existants s’élevait au 1</w:t>
      </w:r>
      <w:r w:rsidRPr="00663643">
        <w:rPr>
          <w:rFonts w:asciiTheme="majorHAnsi" w:hAnsiTheme="majorHAnsi" w:cstheme="majorHAnsi"/>
          <w:sz w:val="24"/>
          <w:szCs w:val="24"/>
          <w:vertAlign w:val="superscript"/>
        </w:rPr>
        <w:t>er</w:t>
      </w:r>
      <w:r w:rsidRPr="00663643">
        <w:rPr>
          <w:rFonts w:asciiTheme="majorHAnsi" w:hAnsiTheme="majorHAnsi" w:cstheme="majorHAnsi"/>
          <w:sz w:val="24"/>
          <w:szCs w:val="24"/>
        </w:rPr>
        <w:t xml:space="preserve"> trimestre 2009 à 3.440.- euros et pour les appartements en état futur d’achèvement à 4.329.- euros. Dix ans plus tard, au 1</w:t>
      </w:r>
      <w:r w:rsidRPr="00663643">
        <w:rPr>
          <w:rFonts w:asciiTheme="majorHAnsi" w:hAnsiTheme="majorHAnsi" w:cstheme="majorHAnsi"/>
          <w:sz w:val="24"/>
          <w:szCs w:val="24"/>
          <w:vertAlign w:val="superscript"/>
        </w:rPr>
        <w:t>er</w:t>
      </w:r>
      <w:r w:rsidRPr="00663643">
        <w:rPr>
          <w:rFonts w:asciiTheme="majorHAnsi" w:hAnsiTheme="majorHAnsi" w:cstheme="majorHAnsi"/>
          <w:sz w:val="24"/>
          <w:szCs w:val="24"/>
        </w:rPr>
        <w:t xml:space="preserve"> trimestre 2019, le prix de vente moyen pour un appartement était de 6.111.- euros pour les appartements existants et 6.720.- euros pour </w:t>
      </w:r>
      <w:r w:rsidR="00963F22" w:rsidRPr="00663643">
        <w:rPr>
          <w:rFonts w:asciiTheme="majorHAnsi" w:hAnsiTheme="majorHAnsi" w:cstheme="majorHAnsi"/>
          <w:sz w:val="24"/>
          <w:szCs w:val="24"/>
        </w:rPr>
        <w:t xml:space="preserve">les appartements en construction. </w:t>
      </w:r>
    </w:p>
    <w:p w14:paraId="458C2BEC" w14:textId="77777777" w:rsidR="00FF1823" w:rsidRPr="00663643" w:rsidRDefault="00FF1823" w:rsidP="00FF182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898445E" w14:textId="6DA3BA2C" w:rsidR="00442096" w:rsidRPr="00663643" w:rsidRDefault="00442096" w:rsidP="00FF182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3D2A2BFC" wp14:editId="1F2CF70E">
            <wp:extent cx="5755671" cy="2955290"/>
            <wp:effectExtent l="0" t="0" r="16510" b="16510"/>
            <wp:docPr id="20" name="Graphique 20">
              <a:extLst xmlns:a="http://schemas.openxmlformats.org/drawingml/2006/main">
                <a:ext uri="{FF2B5EF4-FFF2-40B4-BE49-F238E27FC236}">
                  <a16:creationId xmlns:a16="http://schemas.microsoft.com/office/drawing/2014/main" id="{EF900F40-4467-47DB-B9B9-36C6EBD860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796A3FF" w14:textId="759D42A9" w:rsidR="00786853" w:rsidRPr="00663643" w:rsidRDefault="00442096" w:rsidP="0078685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>Source</w:t>
      </w:r>
      <w:r w:rsidR="00786853" w:rsidRPr="00663643">
        <w:rPr>
          <w:rFonts w:asciiTheme="majorHAnsi" w:hAnsiTheme="majorHAnsi" w:cstheme="majorHAnsi"/>
          <w:sz w:val="24"/>
          <w:szCs w:val="24"/>
        </w:rPr>
        <w:t>s</w:t>
      </w:r>
      <w:r w:rsidRPr="00663643">
        <w:rPr>
          <w:rFonts w:asciiTheme="majorHAnsi" w:hAnsiTheme="majorHAnsi" w:cstheme="majorHAnsi"/>
          <w:sz w:val="24"/>
          <w:szCs w:val="24"/>
        </w:rPr>
        <w:t> : Statec </w:t>
      </w:r>
      <w:r w:rsidR="00786853" w:rsidRPr="00663643">
        <w:rPr>
          <w:rFonts w:asciiTheme="majorHAnsi" w:hAnsiTheme="majorHAnsi" w:cstheme="majorHAnsi"/>
          <w:sz w:val="24"/>
          <w:szCs w:val="24"/>
        </w:rPr>
        <w:t xml:space="preserve">/ Liser </w:t>
      </w:r>
      <w:r w:rsidRPr="00663643">
        <w:rPr>
          <w:rFonts w:asciiTheme="majorHAnsi" w:hAnsiTheme="majorHAnsi" w:cstheme="majorHAnsi"/>
          <w:sz w:val="24"/>
          <w:szCs w:val="24"/>
        </w:rPr>
        <w:t>: Statistique des prix de vente des logements - Prix moyens des appartements https://statistiques.public.lu/stat/tableviewer/document.aspx?ReportId=13440</w:t>
      </w:r>
      <w:r w:rsidR="00786853" w:rsidRPr="00663643">
        <w:rPr>
          <w:rFonts w:asciiTheme="majorHAnsi" w:hAnsiTheme="majorHAnsi" w:cstheme="majorHAnsi"/>
          <w:sz w:val="24"/>
          <w:szCs w:val="24"/>
        </w:rPr>
        <w:t xml:space="preserve"> http://observatoire.liser.lu/serie_retro/PE/Serie_retrospective_PE_2017T3.xls</w:t>
      </w:r>
    </w:p>
    <w:p w14:paraId="050C57F1" w14:textId="282DCCEB" w:rsidR="00FF1823" w:rsidRPr="00663643" w:rsidRDefault="00B7313F" w:rsidP="00FF182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 xml:space="preserve">Au cours de cette période, </w:t>
      </w:r>
      <w:r w:rsidR="00FF1823" w:rsidRPr="00663643">
        <w:rPr>
          <w:rFonts w:asciiTheme="majorHAnsi" w:hAnsiTheme="majorHAnsi" w:cstheme="majorHAnsi"/>
          <w:sz w:val="24"/>
          <w:szCs w:val="24"/>
        </w:rPr>
        <w:t xml:space="preserve">les prix de ventes des logements ont augmenté de </w:t>
      </w:r>
      <w:r w:rsidRPr="00663643">
        <w:rPr>
          <w:rFonts w:asciiTheme="majorHAnsi" w:hAnsiTheme="majorHAnsi" w:cstheme="majorHAnsi"/>
          <w:sz w:val="24"/>
          <w:szCs w:val="24"/>
        </w:rPr>
        <w:t xml:space="preserve">l’ordre de </w:t>
      </w:r>
      <w:r w:rsidR="00786853" w:rsidRPr="00663643">
        <w:rPr>
          <w:rFonts w:asciiTheme="majorHAnsi" w:hAnsiTheme="majorHAnsi" w:cstheme="majorHAnsi"/>
          <w:sz w:val="24"/>
          <w:szCs w:val="24"/>
        </w:rPr>
        <w:t>55,2</w:t>
      </w:r>
      <w:r w:rsidR="00FC03FE" w:rsidRPr="00663643">
        <w:rPr>
          <w:rFonts w:asciiTheme="majorHAnsi" w:hAnsiTheme="majorHAnsi" w:cstheme="majorHAnsi"/>
          <w:sz w:val="24"/>
          <w:szCs w:val="24"/>
        </w:rPr>
        <w:t>%</w:t>
      </w:r>
      <w:r w:rsidR="00FF1823" w:rsidRPr="00663643">
        <w:rPr>
          <w:rFonts w:asciiTheme="majorHAnsi" w:hAnsiTheme="majorHAnsi" w:cstheme="majorHAnsi"/>
          <w:sz w:val="24"/>
          <w:szCs w:val="24"/>
        </w:rPr>
        <w:t xml:space="preserve"> </w:t>
      </w:r>
      <w:r w:rsidRPr="00663643">
        <w:rPr>
          <w:rFonts w:asciiTheme="majorHAnsi" w:hAnsiTheme="majorHAnsi" w:cstheme="majorHAnsi"/>
          <w:sz w:val="24"/>
          <w:szCs w:val="24"/>
        </w:rPr>
        <w:t xml:space="preserve">voire même de l’ordre de 77,6% selon que </w:t>
      </w:r>
      <w:r w:rsidR="00FF1823" w:rsidRPr="00663643">
        <w:rPr>
          <w:rFonts w:asciiTheme="majorHAnsi" w:hAnsiTheme="majorHAnsi" w:cstheme="majorHAnsi"/>
          <w:sz w:val="24"/>
          <w:szCs w:val="24"/>
        </w:rPr>
        <w:t xml:space="preserve">les appartements </w:t>
      </w:r>
      <w:r w:rsidRPr="00663643">
        <w:rPr>
          <w:rFonts w:asciiTheme="majorHAnsi" w:hAnsiTheme="majorHAnsi" w:cstheme="majorHAnsi"/>
          <w:sz w:val="24"/>
          <w:szCs w:val="24"/>
        </w:rPr>
        <w:t xml:space="preserve">étaient en </w:t>
      </w:r>
      <w:r w:rsidR="00FF1823" w:rsidRPr="00663643">
        <w:rPr>
          <w:rFonts w:asciiTheme="majorHAnsi" w:hAnsiTheme="majorHAnsi" w:cstheme="majorHAnsi"/>
          <w:sz w:val="24"/>
          <w:szCs w:val="24"/>
        </w:rPr>
        <w:t xml:space="preserve">construction </w:t>
      </w:r>
      <w:r w:rsidRPr="00663643">
        <w:rPr>
          <w:rFonts w:asciiTheme="majorHAnsi" w:hAnsiTheme="majorHAnsi" w:cstheme="majorHAnsi"/>
          <w:sz w:val="24"/>
          <w:szCs w:val="24"/>
        </w:rPr>
        <w:t xml:space="preserve">ou </w:t>
      </w:r>
      <w:r w:rsidR="00FF1823" w:rsidRPr="00663643">
        <w:rPr>
          <w:rFonts w:asciiTheme="majorHAnsi" w:hAnsiTheme="majorHAnsi" w:cstheme="majorHAnsi"/>
          <w:sz w:val="24"/>
          <w:szCs w:val="24"/>
        </w:rPr>
        <w:t>existants.</w:t>
      </w:r>
    </w:p>
    <w:p w14:paraId="45966522" w14:textId="77777777" w:rsidR="00FF1823" w:rsidRPr="00663643" w:rsidRDefault="00FF1823" w:rsidP="00FF182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5B2A61D" w14:textId="29B73085" w:rsidR="00FF1823" w:rsidRPr="00663643" w:rsidRDefault="00B7313F" w:rsidP="00FF182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 xml:space="preserve">A titre d’exemple, le </w:t>
      </w:r>
      <w:r w:rsidR="00FF1823" w:rsidRPr="00663643">
        <w:rPr>
          <w:rFonts w:asciiTheme="majorHAnsi" w:hAnsiTheme="majorHAnsi" w:cstheme="majorHAnsi"/>
          <w:sz w:val="24"/>
          <w:szCs w:val="24"/>
        </w:rPr>
        <w:t>prix de vente d’un appartement existant de 80m</w:t>
      </w:r>
      <w:r w:rsidR="00FF1823" w:rsidRPr="00663643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="00FF1823" w:rsidRPr="00663643">
        <w:rPr>
          <w:rFonts w:asciiTheme="majorHAnsi" w:hAnsiTheme="majorHAnsi" w:cstheme="majorHAnsi"/>
          <w:sz w:val="24"/>
          <w:szCs w:val="24"/>
        </w:rPr>
        <w:t xml:space="preserve"> est passé de 2</w:t>
      </w:r>
      <w:r w:rsidR="00786853" w:rsidRPr="00663643">
        <w:rPr>
          <w:rFonts w:asciiTheme="majorHAnsi" w:hAnsiTheme="majorHAnsi" w:cstheme="majorHAnsi"/>
          <w:sz w:val="24"/>
          <w:szCs w:val="24"/>
        </w:rPr>
        <w:t>7</w:t>
      </w:r>
      <w:r w:rsidR="00FF1823" w:rsidRPr="00663643">
        <w:rPr>
          <w:rFonts w:asciiTheme="majorHAnsi" w:hAnsiTheme="majorHAnsi" w:cstheme="majorHAnsi"/>
          <w:sz w:val="24"/>
          <w:szCs w:val="24"/>
        </w:rPr>
        <w:t>5.200</w:t>
      </w:r>
      <w:r w:rsidRPr="00663643">
        <w:rPr>
          <w:rFonts w:asciiTheme="majorHAnsi" w:hAnsiTheme="majorHAnsi" w:cstheme="majorHAnsi"/>
          <w:sz w:val="24"/>
          <w:szCs w:val="24"/>
        </w:rPr>
        <w:t xml:space="preserve">.- </w:t>
      </w:r>
      <w:r w:rsidR="00FF1823" w:rsidRPr="00663643">
        <w:rPr>
          <w:rFonts w:asciiTheme="majorHAnsi" w:hAnsiTheme="majorHAnsi" w:cstheme="majorHAnsi"/>
          <w:sz w:val="24"/>
          <w:szCs w:val="24"/>
        </w:rPr>
        <w:t>euros à 4</w:t>
      </w:r>
      <w:r w:rsidR="00A26F82" w:rsidRPr="00663643">
        <w:rPr>
          <w:rFonts w:asciiTheme="majorHAnsi" w:hAnsiTheme="majorHAnsi" w:cstheme="majorHAnsi"/>
          <w:sz w:val="24"/>
          <w:szCs w:val="24"/>
        </w:rPr>
        <w:t>88.880</w:t>
      </w:r>
      <w:r w:rsidRPr="00663643">
        <w:rPr>
          <w:rFonts w:asciiTheme="majorHAnsi" w:hAnsiTheme="majorHAnsi" w:cstheme="majorHAnsi"/>
          <w:sz w:val="24"/>
          <w:szCs w:val="24"/>
        </w:rPr>
        <w:t xml:space="preserve">.- </w:t>
      </w:r>
      <w:r w:rsidR="00FF1823" w:rsidRPr="00663643">
        <w:rPr>
          <w:rFonts w:asciiTheme="majorHAnsi" w:hAnsiTheme="majorHAnsi" w:cstheme="majorHAnsi"/>
          <w:sz w:val="24"/>
          <w:szCs w:val="24"/>
        </w:rPr>
        <w:t>euros.</w:t>
      </w:r>
    </w:p>
    <w:p w14:paraId="219B7B6E" w14:textId="77777777" w:rsidR="00FF1823" w:rsidRPr="00663643" w:rsidRDefault="00FF1823" w:rsidP="00FF182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DAFD15" w14:textId="3B6EBD3C" w:rsidR="00FF1823" w:rsidRPr="00663643" w:rsidRDefault="00FF1823" w:rsidP="00FF182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>Avec le montant actuel du crédit d’impôt, une personne pourra acquérir un immeuble d'une valeur de 286.000</w:t>
      </w:r>
      <w:r w:rsidR="00B7313F" w:rsidRPr="00663643">
        <w:rPr>
          <w:rFonts w:asciiTheme="majorHAnsi" w:hAnsiTheme="majorHAnsi" w:cstheme="majorHAnsi"/>
          <w:sz w:val="24"/>
          <w:szCs w:val="24"/>
        </w:rPr>
        <w:t xml:space="preserve">.- </w:t>
      </w:r>
      <w:r w:rsidRPr="00663643">
        <w:rPr>
          <w:rFonts w:asciiTheme="majorHAnsi" w:hAnsiTheme="majorHAnsi" w:cstheme="majorHAnsi"/>
          <w:sz w:val="24"/>
          <w:szCs w:val="24"/>
        </w:rPr>
        <w:t>euros en ne payant que le minimum de 100</w:t>
      </w:r>
      <w:r w:rsidR="00B7313F" w:rsidRPr="00663643">
        <w:rPr>
          <w:rFonts w:asciiTheme="majorHAnsi" w:hAnsiTheme="majorHAnsi" w:cstheme="majorHAnsi"/>
          <w:sz w:val="24"/>
          <w:szCs w:val="24"/>
        </w:rPr>
        <w:t>.-</w:t>
      </w:r>
      <w:r w:rsidRPr="00663643">
        <w:rPr>
          <w:rFonts w:asciiTheme="majorHAnsi" w:hAnsiTheme="majorHAnsi" w:cstheme="majorHAnsi"/>
          <w:sz w:val="24"/>
          <w:szCs w:val="24"/>
        </w:rPr>
        <w:t xml:space="preserve"> euros en termes de taxe d'enregistrement. Si la taxe due sur une acquisition immobilière est supérieure à 20.000</w:t>
      </w:r>
      <w:r w:rsidR="00B7313F" w:rsidRPr="00663643">
        <w:rPr>
          <w:rFonts w:asciiTheme="majorHAnsi" w:hAnsiTheme="majorHAnsi" w:cstheme="majorHAnsi"/>
          <w:sz w:val="24"/>
          <w:szCs w:val="24"/>
        </w:rPr>
        <w:t>.-</w:t>
      </w:r>
      <w:r w:rsidRPr="00663643">
        <w:rPr>
          <w:rFonts w:asciiTheme="majorHAnsi" w:hAnsiTheme="majorHAnsi" w:cstheme="majorHAnsi"/>
          <w:sz w:val="24"/>
          <w:szCs w:val="24"/>
        </w:rPr>
        <w:t xml:space="preserve"> euros, l'acquéreur n'aura à payer que la partie excédant les 20.000</w:t>
      </w:r>
      <w:r w:rsidR="00B7313F" w:rsidRPr="00663643">
        <w:rPr>
          <w:rFonts w:asciiTheme="majorHAnsi" w:hAnsiTheme="majorHAnsi" w:cstheme="majorHAnsi"/>
          <w:sz w:val="24"/>
          <w:szCs w:val="24"/>
        </w:rPr>
        <w:t>.-</w:t>
      </w:r>
      <w:r w:rsidRPr="00663643">
        <w:rPr>
          <w:rFonts w:asciiTheme="majorHAnsi" w:hAnsiTheme="majorHAnsi" w:cstheme="majorHAnsi"/>
          <w:sz w:val="24"/>
          <w:szCs w:val="24"/>
        </w:rPr>
        <w:t xml:space="preserve"> euros de crédit d'impôt. </w:t>
      </w:r>
    </w:p>
    <w:p w14:paraId="402BEB77" w14:textId="77777777" w:rsidR="00FF1823" w:rsidRPr="00663643" w:rsidRDefault="00FF1823" w:rsidP="00FF182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FF51017" w14:textId="225E68F6" w:rsidR="00FF1823" w:rsidRPr="00663643" w:rsidRDefault="00FF1823" w:rsidP="00FF182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>L’achat du logement de 80m</w:t>
      </w:r>
      <w:r w:rsidRPr="00663643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663643">
        <w:rPr>
          <w:rFonts w:asciiTheme="majorHAnsi" w:hAnsiTheme="majorHAnsi" w:cstheme="majorHAnsi"/>
          <w:sz w:val="24"/>
          <w:szCs w:val="24"/>
        </w:rPr>
        <w:t xml:space="preserve"> à titre de résidence principale aurait été exonéré de droits d’enregistrement en 200</w:t>
      </w:r>
      <w:r w:rsidR="00A26F82" w:rsidRPr="00663643">
        <w:rPr>
          <w:rFonts w:asciiTheme="majorHAnsi" w:hAnsiTheme="majorHAnsi" w:cstheme="majorHAnsi"/>
          <w:sz w:val="24"/>
          <w:szCs w:val="24"/>
        </w:rPr>
        <w:t>9</w:t>
      </w:r>
      <w:r w:rsidR="00B7313F" w:rsidRPr="00663643">
        <w:rPr>
          <w:rFonts w:asciiTheme="majorHAnsi" w:hAnsiTheme="majorHAnsi" w:cstheme="majorHAnsi"/>
          <w:sz w:val="24"/>
          <w:szCs w:val="24"/>
        </w:rPr>
        <w:t>,</w:t>
      </w:r>
      <w:r w:rsidRPr="00663643">
        <w:rPr>
          <w:rFonts w:asciiTheme="majorHAnsi" w:hAnsiTheme="majorHAnsi" w:cstheme="majorHAnsi"/>
          <w:sz w:val="24"/>
          <w:szCs w:val="24"/>
        </w:rPr>
        <w:t xml:space="preserve"> car le prix d’achat n’aurait pas excédé la limite de 286.000 euros. </w:t>
      </w:r>
    </w:p>
    <w:p w14:paraId="3DE454BF" w14:textId="77777777" w:rsidR="00A26F82" w:rsidRPr="00663643" w:rsidRDefault="00A26F82" w:rsidP="00FF182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37B0E22" w14:textId="62DA71A1" w:rsidR="00FF1823" w:rsidRPr="00663643" w:rsidRDefault="00FF1823" w:rsidP="00FF182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>Or en 201</w:t>
      </w:r>
      <w:r w:rsidR="00A26F82" w:rsidRPr="00663643">
        <w:rPr>
          <w:rFonts w:asciiTheme="majorHAnsi" w:hAnsiTheme="majorHAnsi" w:cstheme="majorHAnsi"/>
          <w:sz w:val="24"/>
          <w:szCs w:val="24"/>
        </w:rPr>
        <w:t>9</w:t>
      </w:r>
      <w:r w:rsidRPr="00663643">
        <w:rPr>
          <w:rFonts w:asciiTheme="majorHAnsi" w:hAnsiTheme="majorHAnsi" w:cstheme="majorHAnsi"/>
          <w:sz w:val="24"/>
          <w:szCs w:val="24"/>
        </w:rPr>
        <w:t>, pour un appartement de 80m</w:t>
      </w:r>
      <w:r w:rsidRPr="00663643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663643">
        <w:rPr>
          <w:rFonts w:asciiTheme="majorHAnsi" w:hAnsiTheme="majorHAnsi" w:cstheme="majorHAnsi"/>
          <w:sz w:val="24"/>
          <w:szCs w:val="24"/>
        </w:rPr>
        <w:t xml:space="preserve"> </w:t>
      </w:r>
      <w:r w:rsidR="00B7313F" w:rsidRPr="00663643">
        <w:rPr>
          <w:rFonts w:asciiTheme="majorHAnsi" w:hAnsiTheme="majorHAnsi" w:cstheme="majorHAnsi"/>
          <w:sz w:val="24"/>
          <w:szCs w:val="24"/>
        </w:rPr>
        <w:t xml:space="preserve">d’une valeur de </w:t>
      </w:r>
      <w:r w:rsidR="00A26F82" w:rsidRPr="00663643">
        <w:rPr>
          <w:rFonts w:asciiTheme="majorHAnsi" w:hAnsiTheme="majorHAnsi" w:cstheme="majorHAnsi"/>
          <w:sz w:val="24"/>
          <w:szCs w:val="24"/>
        </w:rPr>
        <w:t>488.880</w:t>
      </w:r>
      <w:r w:rsidR="00B7313F" w:rsidRPr="00663643">
        <w:rPr>
          <w:rFonts w:asciiTheme="majorHAnsi" w:hAnsiTheme="majorHAnsi" w:cstheme="majorHAnsi"/>
          <w:sz w:val="24"/>
          <w:szCs w:val="24"/>
        </w:rPr>
        <w:t>.-</w:t>
      </w:r>
      <w:r w:rsidRPr="00663643">
        <w:rPr>
          <w:rFonts w:asciiTheme="majorHAnsi" w:hAnsiTheme="majorHAnsi" w:cstheme="majorHAnsi"/>
          <w:sz w:val="24"/>
          <w:szCs w:val="24"/>
        </w:rPr>
        <w:t xml:space="preserve">euros, les taxes d'enregistrement dues s’élèvent à </w:t>
      </w:r>
      <w:r w:rsidR="00A26F82" w:rsidRPr="00663643">
        <w:rPr>
          <w:rFonts w:asciiTheme="majorHAnsi" w:hAnsiTheme="majorHAnsi" w:cstheme="majorHAnsi"/>
          <w:sz w:val="24"/>
          <w:szCs w:val="24"/>
        </w:rPr>
        <w:t xml:space="preserve">14.221.63 </w:t>
      </w:r>
      <w:r w:rsidRPr="00663643">
        <w:rPr>
          <w:rFonts w:asciiTheme="majorHAnsi" w:hAnsiTheme="majorHAnsi" w:cstheme="majorHAnsi"/>
          <w:sz w:val="24"/>
          <w:szCs w:val="24"/>
        </w:rPr>
        <w:t>euros. [(4</w:t>
      </w:r>
      <w:r w:rsidR="00A26F82" w:rsidRPr="00663643">
        <w:rPr>
          <w:rFonts w:asciiTheme="majorHAnsi" w:hAnsiTheme="majorHAnsi" w:cstheme="majorHAnsi"/>
          <w:sz w:val="24"/>
          <w:szCs w:val="24"/>
        </w:rPr>
        <w:t>88</w:t>
      </w:r>
      <w:r w:rsidRPr="00663643">
        <w:rPr>
          <w:rFonts w:asciiTheme="majorHAnsi" w:hAnsiTheme="majorHAnsi" w:cstheme="majorHAnsi"/>
          <w:sz w:val="24"/>
          <w:szCs w:val="24"/>
        </w:rPr>
        <w:t>.</w:t>
      </w:r>
      <w:r w:rsidR="00A26F82" w:rsidRPr="00663643">
        <w:rPr>
          <w:rFonts w:asciiTheme="majorHAnsi" w:hAnsiTheme="majorHAnsi" w:cstheme="majorHAnsi"/>
          <w:sz w:val="24"/>
          <w:szCs w:val="24"/>
        </w:rPr>
        <w:t>88</w:t>
      </w:r>
      <w:r w:rsidRPr="00663643">
        <w:rPr>
          <w:rFonts w:asciiTheme="majorHAnsi" w:hAnsiTheme="majorHAnsi" w:cstheme="majorHAnsi"/>
          <w:sz w:val="24"/>
          <w:szCs w:val="24"/>
        </w:rPr>
        <w:t xml:space="preserve">0x0.07))-20.000)]. </w:t>
      </w:r>
    </w:p>
    <w:p w14:paraId="42D9E74C" w14:textId="77777777" w:rsidR="00FF1823" w:rsidRPr="00663643" w:rsidRDefault="00FF1823" w:rsidP="00FF182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C8B2A3F" w14:textId="1209EE02" w:rsidR="00FF1823" w:rsidRPr="00663643" w:rsidRDefault="00FF1823" w:rsidP="00FF182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>Vu l</w:t>
      </w:r>
      <w:r w:rsidR="00B7313F" w:rsidRPr="00663643">
        <w:rPr>
          <w:rFonts w:asciiTheme="majorHAnsi" w:hAnsiTheme="majorHAnsi" w:cstheme="majorHAnsi"/>
          <w:sz w:val="24"/>
          <w:szCs w:val="24"/>
        </w:rPr>
        <w:t xml:space="preserve">a flambée </w:t>
      </w:r>
      <w:r w:rsidRPr="00663643">
        <w:rPr>
          <w:rFonts w:asciiTheme="majorHAnsi" w:hAnsiTheme="majorHAnsi" w:cstheme="majorHAnsi"/>
          <w:sz w:val="24"/>
          <w:szCs w:val="24"/>
        </w:rPr>
        <w:t>des prix immobilier</w:t>
      </w:r>
      <w:r w:rsidR="00B7313F" w:rsidRPr="00663643">
        <w:rPr>
          <w:rFonts w:asciiTheme="majorHAnsi" w:hAnsiTheme="majorHAnsi" w:cstheme="majorHAnsi"/>
          <w:sz w:val="24"/>
          <w:szCs w:val="24"/>
        </w:rPr>
        <w:t>s</w:t>
      </w:r>
      <w:r w:rsidRPr="00663643">
        <w:rPr>
          <w:rFonts w:asciiTheme="majorHAnsi" w:hAnsiTheme="majorHAnsi" w:cstheme="majorHAnsi"/>
          <w:sz w:val="24"/>
          <w:szCs w:val="24"/>
        </w:rPr>
        <w:t xml:space="preserve"> depuis 2002</w:t>
      </w:r>
      <w:r w:rsidR="00B7313F" w:rsidRPr="00663643">
        <w:rPr>
          <w:rFonts w:asciiTheme="majorHAnsi" w:hAnsiTheme="majorHAnsi" w:cstheme="majorHAnsi"/>
          <w:sz w:val="24"/>
          <w:szCs w:val="24"/>
        </w:rPr>
        <w:t xml:space="preserve">, flambée </w:t>
      </w:r>
      <w:r w:rsidRPr="00663643">
        <w:rPr>
          <w:rFonts w:asciiTheme="majorHAnsi" w:hAnsiTheme="majorHAnsi" w:cstheme="majorHAnsi"/>
          <w:sz w:val="24"/>
          <w:szCs w:val="24"/>
        </w:rPr>
        <w:t xml:space="preserve">qui </w:t>
      </w:r>
      <w:r w:rsidR="00B7313F" w:rsidRPr="00663643">
        <w:rPr>
          <w:rFonts w:asciiTheme="majorHAnsi" w:hAnsiTheme="majorHAnsi" w:cstheme="majorHAnsi"/>
          <w:sz w:val="24"/>
          <w:szCs w:val="24"/>
        </w:rPr>
        <w:t xml:space="preserve">a </w:t>
      </w:r>
      <w:r w:rsidRPr="00663643">
        <w:rPr>
          <w:rFonts w:asciiTheme="majorHAnsi" w:hAnsiTheme="majorHAnsi" w:cstheme="majorHAnsi"/>
          <w:sz w:val="24"/>
          <w:szCs w:val="24"/>
        </w:rPr>
        <w:t xml:space="preserve">eu des </w:t>
      </w:r>
      <w:r w:rsidR="00B7313F" w:rsidRPr="00663643">
        <w:rPr>
          <w:rFonts w:asciiTheme="majorHAnsi" w:hAnsiTheme="majorHAnsi" w:cstheme="majorHAnsi"/>
          <w:sz w:val="24"/>
          <w:szCs w:val="24"/>
        </w:rPr>
        <w:t xml:space="preserve">répercussions </w:t>
      </w:r>
      <w:r w:rsidRPr="00663643">
        <w:rPr>
          <w:rFonts w:asciiTheme="majorHAnsi" w:hAnsiTheme="majorHAnsi" w:cstheme="majorHAnsi"/>
          <w:sz w:val="24"/>
          <w:szCs w:val="24"/>
        </w:rPr>
        <w:t>direct</w:t>
      </w:r>
      <w:r w:rsidR="00B7313F" w:rsidRPr="00663643">
        <w:rPr>
          <w:rFonts w:asciiTheme="majorHAnsi" w:hAnsiTheme="majorHAnsi" w:cstheme="majorHAnsi"/>
          <w:sz w:val="24"/>
          <w:szCs w:val="24"/>
        </w:rPr>
        <w:t>e</w:t>
      </w:r>
      <w:r w:rsidRPr="00663643">
        <w:rPr>
          <w:rFonts w:asciiTheme="majorHAnsi" w:hAnsiTheme="majorHAnsi" w:cstheme="majorHAnsi"/>
          <w:sz w:val="24"/>
          <w:szCs w:val="24"/>
        </w:rPr>
        <w:t>s sur le montant des droits d’enregistrement, il est proposé d’adapter le montant du crédit d’impôt à la hausse afin d’alléger ainsi les charges des personnes physiques désireuses d’acheter un logement à des fins d’habitation personnelle.</w:t>
      </w:r>
    </w:p>
    <w:p w14:paraId="0F7E60E5" w14:textId="77777777" w:rsidR="00A26F82" w:rsidRPr="00663643" w:rsidRDefault="00A26F82" w:rsidP="00281479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BAA06F6" w14:textId="343FD295" w:rsidR="00281479" w:rsidRPr="00663643" w:rsidRDefault="00FF1823" w:rsidP="00B7313F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63643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281479" w:rsidRPr="00663643">
        <w:rPr>
          <w:rFonts w:asciiTheme="majorHAnsi" w:hAnsiTheme="majorHAnsi" w:cstheme="majorHAnsi"/>
          <w:b/>
          <w:bCs/>
          <w:sz w:val="24"/>
          <w:szCs w:val="24"/>
        </w:rPr>
        <w:t xml:space="preserve">Texte de la proposition de loi </w:t>
      </w:r>
    </w:p>
    <w:p w14:paraId="74D9EC65" w14:textId="04C2500C" w:rsidR="00281479" w:rsidRPr="00663643" w:rsidRDefault="00A26F82" w:rsidP="00B7313F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>L’article 6 de la loi du 30 juillet 2002 déterminant différentes mesures fiscales destinées à encourager la mise sur le marché et l'acquisition de terrains à bâtir et d'immeubles d'habitation est modifié comme suit :</w:t>
      </w:r>
    </w:p>
    <w:p w14:paraId="5742B084" w14:textId="77777777" w:rsidR="00A26F82" w:rsidRPr="00663643" w:rsidRDefault="00A26F82" w:rsidP="00B7313F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4EE795" w14:textId="4F57FC44" w:rsidR="00533F33" w:rsidRPr="00663643" w:rsidRDefault="00A26F82" w:rsidP="00B7313F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63643">
        <w:rPr>
          <w:rFonts w:asciiTheme="majorHAnsi" w:hAnsiTheme="majorHAnsi" w:cstheme="majorHAnsi"/>
          <w:b/>
          <w:sz w:val="24"/>
          <w:szCs w:val="24"/>
        </w:rPr>
        <w:t>« </w:t>
      </w:r>
      <w:r w:rsidR="00533F33" w:rsidRPr="00663643">
        <w:rPr>
          <w:rFonts w:asciiTheme="majorHAnsi" w:hAnsiTheme="majorHAnsi" w:cstheme="majorHAnsi"/>
          <w:b/>
          <w:sz w:val="24"/>
          <w:szCs w:val="24"/>
        </w:rPr>
        <w:t>Art. 6.</w:t>
      </w:r>
    </w:p>
    <w:p w14:paraId="591739EF" w14:textId="1C41C7BC" w:rsidR="00533F33" w:rsidRPr="00663643" w:rsidRDefault="00533F33" w:rsidP="00B7313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 xml:space="preserve">Le montant de l'abattement, appelé crédit d'impôt, ne peut être supérieur à </w:t>
      </w:r>
      <w:r w:rsidRPr="00663643">
        <w:rPr>
          <w:rFonts w:asciiTheme="majorHAnsi" w:hAnsiTheme="majorHAnsi" w:cstheme="majorHAnsi"/>
          <w:strike/>
          <w:sz w:val="24"/>
          <w:szCs w:val="24"/>
        </w:rPr>
        <w:t>20.000</w:t>
      </w:r>
      <w:r w:rsidRPr="00663643">
        <w:rPr>
          <w:rFonts w:asciiTheme="majorHAnsi" w:hAnsiTheme="majorHAnsi" w:cstheme="majorHAnsi"/>
          <w:sz w:val="24"/>
          <w:szCs w:val="24"/>
        </w:rPr>
        <w:t xml:space="preserve"> </w:t>
      </w:r>
      <w:r w:rsidR="00A26F82" w:rsidRPr="00663643">
        <w:rPr>
          <w:rFonts w:asciiTheme="majorHAnsi" w:hAnsiTheme="majorHAnsi" w:cstheme="majorHAnsi"/>
          <w:b/>
          <w:sz w:val="24"/>
          <w:szCs w:val="24"/>
        </w:rPr>
        <w:t>50</w:t>
      </w:r>
      <w:r w:rsidRPr="00663643">
        <w:rPr>
          <w:rFonts w:asciiTheme="majorHAnsi" w:hAnsiTheme="majorHAnsi" w:cstheme="majorHAnsi"/>
          <w:b/>
          <w:sz w:val="24"/>
          <w:szCs w:val="24"/>
        </w:rPr>
        <w:t>.000</w:t>
      </w:r>
      <w:r w:rsidRPr="00663643">
        <w:rPr>
          <w:rFonts w:asciiTheme="majorHAnsi" w:hAnsiTheme="majorHAnsi" w:cstheme="majorHAnsi"/>
          <w:sz w:val="24"/>
          <w:szCs w:val="24"/>
        </w:rPr>
        <w:t>.- euros pour chaque acquéreur.</w:t>
      </w:r>
      <w:r w:rsidR="00A26F82" w:rsidRPr="00663643">
        <w:rPr>
          <w:rFonts w:asciiTheme="majorHAnsi" w:hAnsiTheme="majorHAnsi" w:cstheme="majorHAnsi"/>
          <w:sz w:val="24"/>
          <w:szCs w:val="24"/>
        </w:rPr>
        <w:t> »</w:t>
      </w:r>
    </w:p>
    <w:p w14:paraId="6B167ADC" w14:textId="6468B450" w:rsidR="00281479" w:rsidRDefault="00281479" w:rsidP="00B7313F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8743F7C" w14:textId="372CBEB3" w:rsidR="00F6222E" w:rsidRPr="00663643" w:rsidRDefault="00FF1823" w:rsidP="00B7313F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663643">
        <w:rPr>
          <w:rFonts w:asciiTheme="majorHAnsi" w:hAnsiTheme="majorHAnsi" w:cstheme="majorHAnsi"/>
          <w:b/>
          <w:sz w:val="24"/>
          <w:szCs w:val="24"/>
        </w:rPr>
        <w:t xml:space="preserve">3. </w:t>
      </w:r>
      <w:r w:rsidR="00281479" w:rsidRPr="00663643">
        <w:rPr>
          <w:rFonts w:asciiTheme="majorHAnsi" w:hAnsiTheme="majorHAnsi" w:cstheme="majorHAnsi"/>
          <w:b/>
          <w:sz w:val="24"/>
          <w:szCs w:val="24"/>
        </w:rPr>
        <w:t>Commentaire de l’article</w:t>
      </w:r>
      <w:r w:rsidR="00A26F82" w:rsidRPr="00663643">
        <w:rPr>
          <w:rFonts w:asciiTheme="majorHAnsi" w:hAnsiTheme="majorHAnsi" w:cstheme="majorHAnsi"/>
          <w:b/>
          <w:sz w:val="24"/>
          <w:szCs w:val="24"/>
        </w:rPr>
        <w:t xml:space="preserve"> unique</w:t>
      </w:r>
    </w:p>
    <w:p w14:paraId="7EB451BC" w14:textId="6EE04B33" w:rsidR="00281479" w:rsidRPr="00663643" w:rsidRDefault="00281479" w:rsidP="00B7313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3643">
        <w:rPr>
          <w:rFonts w:asciiTheme="majorHAnsi" w:hAnsiTheme="majorHAnsi" w:cstheme="majorHAnsi"/>
          <w:sz w:val="24"/>
          <w:szCs w:val="24"/>
        </w:rPr>
        <w:t>Le montant du crédit d’impôt est porté de 20.000</w:t>
      </w:r>
      <w:r w:rsidR="00B7313F" w:rsidRPr="00663643">
        <w:rPr>
          <w:rFonts w:asciiTheme="majorHAnsi" w:hAnsiTheme="majorHAnsi" w:cstheme="majorHAnsi"/>
          <w:sz w:val="24"/>
          <w:szCs w:val="24"/>
        </w:rPr>
        <w:t>.-</w:t>
      </w:r>
      <w:r w:rsidRPr="00663643">
        <w:rPr>
          <w:rFonts w:asciiTheme="majorHAnsi" w:hAnsiTheme="majorHAnsi" w:cstheme="majorHAnsi"/>
          <w:sz w:val="24"/>
          <w:szCs w:val="24"/>
        </w:rPr>
        <w:t xml:space="preserve">euros à </w:t>
      </w:r>
      <w:r w:rsidR="00A26F82" w:rsidRPr="00663643">
        <w:rPr>
          <w:rFonts w:asciiTheme="majorHAnsi" w:hAnsiTheme="majorHAnsi" w:cstheme="majorHAnsi"/>
          <w:sz w:val="24"/>
          <w:szCs w:val="24"/>
        </w:rPr>
        <w:t>5</w:t>
      </w:r>
      <w:r w:rsidR="00482192" w:rsidRPr="00663643">
        <w:rPr>
          <w:rFonts w:asciiTheme="majorHAnsi" w:hAnsiTheme="majorHAnsi" w:cstheme="majorHAnsi"/>
          <w:sz w:val="24"/>
          <w:szCs w:val="24"/>
        </w:rPr>
        <w:t>0</w:t>
      </w:r>
      <w:r w:rsidRPr="00663643">
        <w:rPr>
          <w:rFonts w:asciiTheme="majorHAnsi" w:hAnsiTheme="majorHAnsi" w:cstheme="majorHAnsi"/>
          <w:sz w:val="24"/>
          <w:szCs w:val="24"/>
        </w:rPr>
        <w:t>.000</w:t>
      </w:r>
      <w:r w:rsidR="00B7313F" w:rsidRPr="00663643">
        <w:rPr>
          <w:rFonts w:asciiTheme="majorHAnsi" w:hAnsiTheme="majorHAnsi" w:cstheme="majorHAnsi"/>
          <w:sz w:val="24"/>
          <w:szCs w:val="24"/>
        </w:rPr>
        <w:t xml:space="preserve">.- </w:t>
      </w:r>
      <w:r w:rsidRPr="00663643">
        <w:rPr>
          <w:rFonts w:asciiTheme="majorHAnsi" w:hAnsiTheme="majorHAnsi" w:cstheme="majorHAnsi"/>
          <w:sz w:val="24"/>
          <w:szCs w:val="24"/>
        </w:rPr>
        <w:t>euros</w:t>
      </w:r>
      <w:r w:rsidR="00B7313F" w:rsidRPr="00663643">
        <w:rPr>
          <w:rFonts w:asciiTheme="majorHAnsi" w:hAnsiTheme="majorHAnsi" w:cstheme="majorHAnsi"/>
          <w:sz w:val="24"/>
          <w:szCs w:val="24"/>
        </w:rPr>
        <w:t xml:space="preserve"> dans le but d’alléger les charges pesant sur les acquéreurs </w:t>
      </w:r>
      <w:r w:rsidR="0097092E" w:rsidRPr="00663643">
        <w:rPr>
          <w:rFonts w:asciiTheme="majorHAnsi" w:hAnsiTheme="majorHAnsi" w:cstheme="majorHAnsi"/>
          <w:sz w:val="24"/>
          <w:szCs w:val="24"/>
        </w:rPr>
        <w:t xml:space="preserve">et ainsi d’essayer de contenir le prix total que les personnes doivent débourser en fin de compte pour acheter une habitation. </w:t>
      </w:r>
    </w:p>
    <w:p w14:paraId="66B08365" w14:textId="3D504A01" w:rsidR="00281479" w:rsidRDefault="00281479" w:rsidP="00455905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C33DD8E" w14:textId="7049DA1E" w:rsidR="00663643" w:rsidRPr="00663643" w:rsidRDefault="00663643" w:rsidP="00663643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***</w:t>
      </w:r>
    </w:p>
    <w:sectPr w:rsidR="00663643" w:rsidRPr="006636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3FDA" w14:textId="77777777" w:rsidR="008261FB" w:rsidRDefault="008261FB" w:rsidP="00025C52">
      <w:pPr>
        <w:spacing w:after="0" w:line="240" w:lineRule="auto"/>
      </w:pPr>
      <w:r>
        <w:separator/>
      </w:r>
    </w:p>
  </w:endnote>
  <w:endnote w:type="continuationSeparator" w:id="0">
    <w:p w14:paraId="437E8E6A" w14:textId="77777777" w:rsidR="008261FB" w:rsidRDefault="008261FB" w:rsidP="0002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NextLT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753194"/>
      <w:docPartObj>
        <w:docPartGallery w:val="Page Numbers (Bottom of Page)"/>
        <w:docPartUnique/>
      </w:docPartObj>
    </w:sdtPr>
    <w:sdtEndPr/>
    <w:sdtContent>
      <w:p w14:paraId="2099EEB1" w14:textId="1EFB82B8" w:rsidR="00FF1823" w:rsidRDefault="00FF18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46087F" w14:textId="77777777" w:rsidR="00025C52" w:rsidRDefault="00025C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AEC5A" w14:textId="77777777" w:rsidR="008261FB" w:rsidRDefault="008261FB" w:rsidP="00025C52">
      <w:pPr>
        <w:spacing w:after="0" w:line="240" w:lineRule="auto"/>
      </w:pPr>
      <w:r>
        <w:separator/>
      </w:r>
    </w:p>
  </w:footnote>
  <w:footnote w:type="continuationSeparator" w:id="0">
    <w:p w14:paraId="0EFD0DEC" w14:textId="77777777" w:rsidR="008261FB" w:rsidRDefault="008261FB" w:rsidP="00025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33"/>
    <w:rsid w:val="00025C52"/>
    <w:rsid w:val="000443EC"/>
    <w:rsid w:val="00046F44"/>
    <w:rsid w:val="00080159"/>
    <w:rsid w:val="000C1656"/>
    <w:rsid w:val="000F30DA"/>
    <w:rsid w:val="0011718F"/>
    <w:rsid w:val="00176673"/>
    <w:rsid w:val="001838C1"/>
    <w:rsid w:val="001C5CA8"/>
    <w:rsid w:val="00281479"/>
    <w:rsid w:val="003B50B2"/>
    <w:rsid w:val="00401E60"/>
    <w:rsid w:val="0041334C"/>
    <w:rsid w:val="00442096"/>
    <w:rsid w:val="00455905"/>
    <w:rsid w:val="00482192"/>
    <w:rsid w:val="004E51AA"/>
    <w:rsid w:val="00501643"/>
    <w:rsid w:val="00533F33"/>
    <w:rsid w:val="00563F1B"/>
    <w:rsid w:val="00663643"/>
    <w:rsid w:val="006A76F8"/>
    <w:rsid w:val="0072713E"/>
    <w:rsid w:val="00727475"/>
    <w:rsid w:val="00786853"/>
    <w:rsid w:val="007E263B"/>
    <w:rsid w:val="007F6711"/>
    <w:rsid w:val="008261FB"/>
    <w:rsid w:val="008E1D92"/>
    <w:rsid w:val="00963F22"/>
    <w:rsid w:val="0097092E"/>
    <w:rsid w:val="009D53A6"/>
    <w:rsid w:val="00A26F82"/>
    <w:rsid w:val="00A4401D"/>
    <w:rsid w:val="00A6669B"/>
    <w:rsid w:val="00AD7925"/>
    <w:rsid w:val="00AE027D"/>
    <w:rsid w:val="00B7313F"/>
    <w:rsid w:val="00E3631E"/>
    <w:rsid w:val="00E706CF"/>
    <w:rsid w:val="00EE5262"/>
    <w:rsid w:val="00F144B4"/>
    <w:rsid w:val="00F61C8D"/>
    <w:rsid w:val="00F6222E"/>
    <w:rsid w:val="00F64980"/>
    <w:rsid w:val="00F717DB"/>
    <w:rsid w:val="00F90B5F"/>
    <w:rsid w:val="00FC03FE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2994"/>
  <w15:chartTrackingRefBased/>
  <w15:docId w15:val="{B0AFCEF3-19B1-4466-956E-ED5897DA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33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71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33F33"/>
    <w:rPr>
      <w:b/>
      <w:bCs/>
    </w:rPr>
  </w:style>
  <w:style w:type="paragraph" w:styleId="NormalWeb">
    <w:name w:val="Normal (Web)"/>
    <w:basedOn w:val="Normal"/>
    <w:uiPriority w:val="99"/>
    <w:unhideWhenUsed/>
    <w:rsid w:val="0053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33F3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richtextp">
    <w:name w:val="richtext_p"/>
    <w:basedOn w:val="Normal"/>
    <w:rsid w:val="0053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xh">
    <w:name w:val="box_h"/>
    <w:basedOn w:val="Normal"/>
    <w:rsid w:val="0053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ichtextquotedtext">
    <w:name w:val="richtext_quotedtext"/>
    <w:basedOn w:val="Policepardfaut"/>
    <w:rsid w:val="001C5CA8"/>
  </w:style>
  <w:style w:type="character" w:customStyle="1" w:styleId="Titre4Car">
    <w:name w:val="Titre 4 Car"/>
    <w:basedOn w:val="Policepardfaut"/>
    <w:link w:val="Titre4"/>
    <w:uiPriority w:val="9"/>
    <w:semiHidden/>
    <w:rsid w:val="007271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025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C52"/>
  </w:style>
  <w:style w:type="paragraph" w:styleId="Pieddepage">
    <w:name w:val="footer"/>
    <w:basedOn w:val="Normal"/>
    <w:link w:val="PieddepageCar"/>
    <w:uiPriority w:val="99"/>
    <w:unhideWhenUsed/>
    <w:rsid w:val="00025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Question%20Parlementaire%20octobre%202018\Marc%20Lies\Propositiounen\Final\Dossier%20M&#252;nchen\Copie%20de%20Serie_retrospective_PE_2017T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Prix de vente au m² des appartements 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du 1er trimestre 2009</a:t>
            </a:r>
            <a:r>
              <a:rPr lang="fr-FR" baseline="0"/>
              <a:t> au 1er trimestre </a:t>
            </a:r>
            <a:r>
              <a:rPr lang="fr-FR"/>
              <a:t>2019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'Série Globale'!$D$14:$F$14</c:f>
              <c:strCache>
                <c:ptCount val="1"/>
                <c:pt idx="0">
                  <c:v>Ventes d'appartements existants</c:v>
                </c:pt>
              </c:strCache>
            </c:strRef>
          </c:tx>
          <c:spPr>
            <a:ln w="25400">
              <a:solidFill>
                <a:srgbClr val="00C0F3"/>
              </a:solidFill>
            </a:ln>
          </c:spPr>
          <c:marker>
            <c:symbol val="square"/>
            <c:size val="5"/>
            <c:spPr>
              <a:solidFill>
                <a:srgbClr val="00C0F3"/>
              </a:solidFill>
              <a:ln>
                <a:solidFill>
                  <a:srgbClr val="00C0F3"/>
                </a:solidFill>
              </a:ln>
            </c:spPr>
          </c:marker>
          <c:cat>
            <c:multiLvlStrRef>
              <c:f>'Série Globale'!$B$16:$C$59</c:f>
              <c:multiLvlStrCache>
                <c:ptCount val="41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T1</c:v>
                  </c:pt>
                  <c:pt idx="5">
                    <c:v>T2</c:v>
                  </c:pt>
                  <c:pt idx="6">
                    <c:v>T3</c:v>
                  </c:pt>
                  <c:pt idx="7">
                    <c:v>T4</c:v>
                  </c:pt>
                  <c:pt idx="8">
                    <c:v>T1</c:v>
                  </c:pt>
                  <c:pt idx="9">
                    <c:v>T2</c:v>
                  </c:pt>
                  <c:pt idx="10">
                    <c:v>T3</c:v>
                  </c:pt>
                  <c:pt idx="11">
                    <c:v>T4</c:v>
                  </c:pt>
                  <c:pt idx="12">
                    <c:v>T1</c:v>
                  </c:pt>
                  <c:pt idx="13">
                    <c:v>T2</c:v>
                  </c:pt>
                  <c:pt idx="14">
                    <c:v>T3</c:v>
                  </c:pt>
                  <c:pt idx="15">
                    <c:v>T4</c:v>
                  </c:pt>
                  <c:pt idx="16">
                    <c:v>T1</c:v>
                  </c:pt>
                  <c:pt idx="17">
                    <c:v>T2</c:v>
                  </c:pt>
                  <c:pt idx="18">
                    <c:v>T3</c:v>
                  </c:pt>
                  <c:pt idx="19">
                    <c:v>T4</c:v>
                  </c:pt>
                  <c:pt idx="20">
                    <c:v>T1</c:v>
                  </c:pt>
                  <c:pt idx="21">
                    <c:v>T2</c:v>
                  </c:pt>
                  <c:pt idx="22">
                    <c:v>T3</c:v>
                  </c:pt>
                  <c:pt idx="23">
                    <c:v>T4</c:v>
                  </c:pt>
                  <c:pt idx="24">
                    <c:v>T1</c:v>
                  </c:pt>
                  <c:pt idx="25">
                    <c:v>T2</c:v>
                  </c:pt>
                  <c:pt idx="26">
                    <c:v>T3</c:v>
                  </c:pt>
                  <c:pt idx="27">
                    <c:v>T4</c:v>
                  </c:pt>
                  <c:pt idx="28">
                    <c:v>T1</c:v>
                  </c:pt>
                  <c:pt idx="29">
                    <c:v>T2</c:v>
                  </c:pt>
                  <c:pt idx="30">
                    <c:v>T3</c:v>
                  </c:pt>
                  <c:pt idx="31">
                    <c:v>T4</c:v>
                  </c:pt>
                  <c:pt idx="32">
                    <c:v>T1</c:v>
                  </c:pt>
                  <c:pt idx="33">
                    <c:v>T2</c:v>
                  </c:pt>
                  <c:pt idx="34">
                    <c:v>T3</c:v>
                  </c:pt>
                  <c:pt idx="35">
                    <c:v>T4</c:v>
                  </c:pt>
                  <c:pt idx="36">
                    <c:v>T1</c:v>
                  </c:pt>
                  <c:pt idx="37">
                    <c:v>T2</c:v>
                  </c:pt>
                  <c:pt idx="38">
                    <c:v>T3</c:v>
                  </c:pt>
                  <c:pt idx="39">
                    <c:v>T4</c:v>
                  </c:pt>
                  <c:pt idx="40">
                    <c:v>T1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</c:lvl>
              </c:multiLvlStrCache>
            </c:multiLvlStrRef>
          </c:cat>
          <c:val>
            <c:numRef>
              <c:f>'Série Globale'!$F$16:$F$56</c:f>
              <c:numCache>
                <c:formatCode>#,##0</c:formatCode>
                <c:ptCount val="41"/>
                <c:pt idx="0">
                  <c:v>3440.3989999999999</c:v>
                </c:pt>
                <c:pt idx="1">
                  <c:v>3497.7060000000001</c:v>
                </c:pt>
                <c:pt idx="2">
                  <c:v>3453.415</c:v>
                </c:pt>
                <c:pt idx="3">
                  <c:v>3536.9850000000001</c:v>
                </c:pt>
                <c:pt idx="4">
                  <c:v>3659.489</c:v>
                </c:pt>
                <c:pt idx="5">
                  <c:v>3583.5830000000001</c:v>
                </c:pt>
                <c:pt idx="6">
                  <c:v>3687.355</c:v>
                </c:pt>
                <c:pt idx="7">
                  <c:v>3703.2489999999998</c:v>
                </c:pt>
                <c:pt idx="8">
                  <c:v>3778.7350000000001</c:v>
                </c:pt>
                <c:pt idx="9">
                  <c:v>3865.7919999999999</c:v>
                </c:pt>
                <c:pt idx="10">
                  <c:v>3770.88</c:v>
                </c:pt>
                <c:pt idx="11">
                  <c:v>3987.989</c:v>
                </c:pt>
                <c:pt idx="12">
                  <c:v>3935.1089999999999</c:v>
                </c:pt>
                <c:pt idx="13">
                  <c:v>3978.1390000000001</c:v>
                </c:pt>
                <c:pt idx="14">
                  <c:v>3939.4470000000001</c:v>
                </c:pt>
                <c:pt idx="15">
                  <c:v>4122.2579999999998</c:v>
                </c:pt>
                <c:pt idx="16">
                  <c:v>3991.5210000000002</c:v>
                </c:pt>
                <c:pt idx="17">
                  <c:v>4209.3599999999997</c:v>
                </c:pt>
                <c:pt idx="18">
                  <c:v>4191.8360000000002</c:v>
                </c:pt>
                <c:pt idx="19">
                  <c:v>4225.34</c:v>
                </c:pt>
                <c:pt idx="20">
                  <c:v>4216.4579999999996</c:v>
                </c:pt>
                <c:pt idx="21">
                  <c:v>4273.4979999999996</c:v>
                </c:pt>
                <c:pt idx="22">
                  <c:v>4338.7529999999997</c:v>
                </c:pt>
                <c:pt idx="23">
                  <c:v>4438.134</c:v>
                </c:pt>
                <c:pt idx="24">
                  <c:v>4350.7139999999999</c:v>
                </c:pt>
                <c:pt idx="25">
                  <c:v>4434.2070000000003</c:v>
                </c:pt>
                <c:pt idx="26">
                  <c:v>4558.6229999999996</c:v>
                </c:pt>
                <c:pt idx="27">
                  <c:v>4517.7510000000002</c:v>
                </c:pt>
                <c:pt idx="28">
                  <c:v>4736.4210000000003</c:v>
                </c:pt>
                <c:pt idx="29">
                  <c:v>4635.9179999999997</c:v>
                </c:pt>
                <c:pt idx="30">
                  <c:v>4850.1930000000002</c:v>
                </c:pt>
                <c:pt idx="31">
                  <c:v>4947.41</c:v>
                </c:pt>
                <c:pt idx="32">
                  <c:v>4914.9390000000003</c:v>
                </c:pt>
                <c:pt idx="33">
                  <c:v>5078.1549999999997</c:v>
                </c:pt>
                <c:pt idx="34">
                  <c:v>5054.1059999999998</c:v>
                </c:pt>
                <c:pt idx="35">
                  <c:v>5258</c:v>
                </c:pt>
                <c:pt idx="36">
                  <c:v>5299</c:v>
                </c:pt>
                <c:pt idx="37">
                  <c:v>5489</c:v>
                </c:pt>
                <c:pt idx="38">
                  <c:v>5558</c:v>
                </c:pt>
                <c:pt idx="39">
                  <c:v>5833</c:v>
                </c:pt>
                <c:pt idx="40">
                  <c:v>5627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2A-420F-9C8A-4996099C4040}"/>
            </c:ext>
          </c:extLst>
        </c:ser>
        <c:ser>
          <c:idx val="1"/>
          <c:order val="1"/>
          <c:tx>
            <c:strRef>
              <c:f>'Série Globale'!$G$14:$I$14</c:f>
              <c:strCache>
                <c:ptCount val="1"/>
                <c:pt idx="0">
                  <c:v>Ventes d'appartements en construction</c:v>
                </c:pt>
              </c:strCache>
            </c:strRef>
          </c:tx>
          <c:spPr>
            <a:ln w="19050">
              <a:solidFill>
                <a:srgbClr val="717EBD"/>
              </a:solidFill>
            </a:ln>
          </c:spPr>
          <c:marker>
            <c:symbol val="triangle"/>
            <c:size val="5"/>
            <c:spPr>
              <a:solidFill>
                <a:srgbClr val="717EBD"/>
              </a:solidFill>
              <a:ln>
                <a:solidFill>
                  <a:srgbClr val="717EBD"/>
                </a:solidFill>
              </a:ln>
            </c:spPr>
          </c:marker>
          <c:cat>
            <c:multiLvlStrRef>
              <c:f>'Série Globale'!$B$16:$C$59</c:f>
              <c:multiLvlStrCache>
                <c:ptCount val="41"/>
                <c:lvl>
                  <c:pt idx="0">
                    <c:v>T1</c:v>
                  </c:pt>
                  <c:pt idx="1">
                    <c:v>T2</c:v>
                  </c:pt>
                  <c:pt idx="2">
                    <c:v>T3</c:v>
                  </c:pt>
                  <c:pt idx="3">
                    <c:v>T4</c:v>
                  </c:pt>
                  <c:pt idx="4">
                    <c:v>T1</c:v>
                  </c:pt>
                  <c:pt idx="5">
                    <c:v>T2</c:v>
                  </c:pt>
                  <c:pt idx="6">
                    <c:v>T3</c:v>
                  </c:pt>
                  <c:pt idx="7">
                    <c:v>T4</c:v>
                  </c:pt>
                  <c:pt idx="8">
                    <c:v>T1</c:v>
                  </c:pt>
                  <c:pt idx="9">
                    <c:v>T2</c:v>
                  </c:pt>
                  <c:pt idx="10">
                    <c:v>T3</c:v>
                  </c:pt>
                  <c:pt idx="11">
                    <c:v>T4</c:v>
                  </c:pt>
                  <c:pt idx="12">
                    <c:v>T1</c:v>
                  </c:pt>
                  <c:pt idx="13">
                    <c:v>T2</c:v>
                  </c:pt>
                  <c:pt idx="14">
                    <c:v>T3</c:v>
                  </c:pt>
                  <c:pt idx="15">
                    <c:v>T4</c:v>
                  </c:pt>
                  <c:pt idx="16">
                    <c:v>T1</c:v>
                  </c:pt>
                  <c:pt idx="17">
                    <c:v>T2</c:v>
                  </c:pt>
                  <c:pt idx="18">
                    <c:v>T3</c:v>
                  </c:pt>
                  <c:pt idx="19">
                    <c:v>T4</c:v>
                  </c:pt>
                  <c:pt idx="20">
                    <c:v>T1</c:v>
                  </c:pt>
                  <c:pt idx="21">
                    <c:v>T2</c:v>
                  </c:pt>
                  <c:pt idx="22">
                    <c:v>T3</c:v>
                  </c:pt>
                  <c:pt idx="23">
                    <c:v>T4</c:v>
                  </c:pt>
                  <c:pt idx="24">
                    <c:v>T1</c:v>
                  </c:pt>
                  <c:pt idx="25">
                    <c:v>T2</c:v>
                  </c:pt>
                  <c:pt idx="26">
                    <c:v>T3</c:v>
                  </c:pt>
                  <c:pt idx="27">
                    <c:v>T4</c:v>
                  </c:pt>
                  <c:pt idx="28">
                    <c:v>T1</c:v>
                  </c:pt>
                  <c:pt idx="29">
                    <c:v>T2</c:v>
                  </c:pt>
                  <c:pt idx="30">
                    <c:v>T3</c:v>
                  </c:pt>
                  <c:pt idx="31">
                    <c:v>T4</c:v>
                  </c:pt>
                  <c:pt idx="32">
                    <c:v>T1</c:v>
                  </c:pt>
                  <c:pt idx="33">
                    <c:v>T2</c:v>
                  </c:pt>
                  <c:pt idx="34">
                    <c:v>T3</c:v>
                  </c:pt>
                  <c:pt idx="35">
                    <c:v>T4</c:v>
                  </c:pt>
                  <c:pt idx="36">
                    <c:v>T1</c:v>
                  </c:pt>
                  <c:pt idx="37">
                    <c:v>T2</c:v>
                  </c:pt>
                  <c:pt idx="38">
                    <c:v>T3</c:v>
                  </c:pt>
                  <c:pt idx="39">
                    <c:v>T4</c:v>
                  </c:pt>
                  <c:pt idx="40">
                    <c:v>T1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</c:lvl>
              </c:multiLvlStrCache>
            </c:multiLvlStrRef>
          </c:cat>
          <c:val>
            <c:numRef>
              <c:f>'Série Globale'!$I$16:$I$56</c:f>
              <c:numCache>
                <c:formatCode>#,##0</c:formatCode>
                <c:ptCount val="41"/>
                <c:pt idx="0">
                  <c:v>4329.2470000000003</c:v>
                </c:pt>
                <c:pt idx="1">
                  <c:v>4230.9350000000004</c:v>
                </c:pt>
                <c:pt idx="2">
                  <c:v>4088.8389999999999</c:v>
                </c:pt>
                <c:pt idx="3">
                  <c:v>4356.058</c:v>
                </c:pt>
                <c:pt idx="4">
                  <c:v>4489.116</c:v>
                </c:pt>
                <c:pt idx="5">
                  <c:v>4270.82</c:v>
                </c:pt>
                <c:pt idx="6">
                  <c:v>4568.6980000000003</c:v>
                </c:pt>
                <c:pt idx="7">
                  <c:v>4577.8649999999998</c:v>
                </c:pt>
                <c:pt idx="8">
                  <c:v>4550.63</c:v>
                </c:pt>
                <c:pt idx="9">
                  <c:v>4519.91</c:v>
                </c:pt>
                <c:pt idx="10">
                  <c:v>4602.9219999999996</c:v>
                </c:pt>
                <c:pt idx="11">
                  <c:v>4779.8419999999996</c:v>
                </c:pt>
                <c:pt idx="12">
                  <c:v>4632.9579999999996</c:v>
                </c:pt>
                <c:pt idx="13">
                  <c:v>4872.0129999999999</c:v>
                </c:pt>
                <c:pt idx="14">
                  <c:v>4717.3310000000001</c:v>
                </c:pt>
                <c:pt idx="15">
                  <c:v>5035.9129999999996</c:v>
                </c:pt>
                <c:pt idx="16">
                  <c:v>4945.3429999999998</c:v>
                </c:pt>
                <c:pt idx="17">
                  <c:v>5047.8940000000002</c:v>
                </c:pt>
                <c:pt idx="18">
                  <c:v>5375.6030000000001</c:v>
                </c:pt>
                <c:pt idx="19">
                  <c:v>5408.0550000000003</c:v>
                </c:pt>
                <c:pt idx="20">
                  <c:v>4882.0469999999996</c:v>
                </c:pt>
                <c:pt idx="21">
                  <c:v>5310.6390000000001</c:v>
                </c:pt>
                <c:pt idx="22">
                  <c:v>4916.7470000000003</c:v>
                </c:pt>
                <c:pt idx="23">
                  <c:v>5572.0730000000003</c:v>
                </c:pt>
                <c:pt idx="24">
                  <c:v>5308.5020000000004</c:v>
                </c:pt>
                <c:pt idx="25">
                  <c:v>5432.1080000000002</c:v>
                </c:pt>
                <c:pt idx="26">
                  <c:v>5524.8190000000004</c:v>
                </c:pt>
                <c:pt idx="27">
                  <c:v>5945.6450000000004</c:v>
                </c:pt>
                <c:pt idx="28">
                  <c:v>5663.2969999999996</c:v>
                </c:pt>
                <c:pt idx="29">
                  <c:v>5859.4219999999996</c:v>
                </c:pt>
                <c:pt idx="30">
                  <c:v>6181.9260000000004</c:v>
                </c:pt>
                <c:pt idx="31">
                  <c:v>6345.5860000000002</c:v>
                </c:pt>
                <c:pt idx="32">
                  <c:v>6199.5349999999999</c:v>
                </c:pt>
                <c:pt idx="33">
                  <c:v>6442.6989999999996</c:v>
                </c:pt>
                <c:pt idx="34">
                  <c:v>6218.9709999999995</c:v>
                </c:pt>
                <c:pt idx="35">
                  <c:v>6464</c:v>
                </c:pt>
                <c:pt idx="36">
                  <c:v>6350</c:v>
                </c:pt>
                <c:pt idx="37">
                  <c:v>6401</c:v>
                </c:pt>
                <c:pt idx="38">
                  <c:v>6545</c:v>
                </c:pt>
                <c:pt idx="39">
                  <c:v>6032</c:v>
                </c:pt>
                <c:pt idx="40">
                  <c:v>6720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2A-420F-9C8A-4996099C40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1354200"/>
        <c:axId val="1"/>
      </c:lineChart>
      <c:catAx>
        <c:axId val="511354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7000"/>
          <c:min val="3000"/>
        </c:scaling>
        <c:delete val="0"/>
        <c:axPos val="l"/>
        <c:majorGridlines>
          <c:spPr>
            <a:ln>
              <a:prstDash val="sysDot"/>
            </a:ln>
          </c:spPr>
        </c:majorGridlines>
        <c:numFmt formatCode="#,##0\ \€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511354200"/>
        <c:crosses val="autoZero"/>
        <c:crossBetween val="between"/>
        <c:majorUnit val="500"/>
      </c:valAx>
    </c:plotArea>
    <c:legend>
      <c:legendPos val="b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2019-10-08T07:58:00Z</dcterms:created>
  <dcterms:modified xsi:type="dcterms:W3CDTF">2019-10-09T09:20:00Z</dcterms:modified>
</cp:coreProperties>
</file>